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EDFAAB">
      <w:pPr>
        <w:widowControl/>
        <w:shd w:val="clear" w:color="auto" w:fill="FFFFFF"/>
        <w:spacing w:line="640" w:lineRule="exact"/>
        <w:jc w:val="center"/>
        <w:outlineLvl w:val="0"/>
        <w:rPr>
          <w:rFonts w:ascii="Times New Roman" w:hAnsi="Times New Roman" w:eastAsia="方正小标宋_GBK" w:cs="Times New Roman"/>
          <w:bCs/>
          <w:kern w:val="36"/>
          <w:sz w:val="44"/>
          <w:szCs w:val="44"/>
        </w:rPr>
      </w:pPr>
      <w:bookmarkStart w:id="0" w:name="OLE_LINK1"/>
      <w:r>
        <w:rPr>
          <w:rFonts w:ascii="Times New Roman" w:hAnsi="Times New Roman" w:eastAsia="方正小标宋_GBK" w:cs="Times New Roman"/>
          <w:bCs/>
          <w:kern w:val="36"/>
          <w:sz w:val="44"/>
          <w:szCs w:val="44"/>
        </w:rPr>
        <w:t>《宿迁市优化营商环境条例（草案）》</w:t>
      </w:r>
    </w:p>
    <w:bookmarkEnd w:id="0"/>
    <w:p w14:paraId="24E9DDAC">
      <w:pPr>
        <w:spacing w:line="640" w:lineRule="exact"/>
        <w:jc w:val="center"/>
        <w:rPr>
          <w:rFonts w:ascii="Times New Roman" w:hAnsi="Times New Roman" w:eastAsia="楷体" w:cs="Times New Roman"/>
          <w:snapToGrid w:val="0"/>
          <w:kern w:val="0"/>
          <w:sz w:val="32"/>
          <w:szCs w:val="32"/>
        </w:rPr>
      </w:pPr>
      <w:r>
        <w:rPr>
          <w:rFonts w:ascii="Times New Roman" w:hAnsi="楷体" w:eastAsia="楷体" w:cs="Times New Roman"/>
          <w:snapToGrid w:val="0"/>
          <w:kern w:val="0"/>
          <w:sz w:val="32"/>
          <w:szCs w:val="32"/>
        </w:rPr>
        <w:t>（征求意见稿）</w:t>
      </w:r>
    </w:p>
    <w:p w14:paraId="51244820">
      <w:pPr>
        <w:adjustRightInd w:val="0"/>
        <w:spacing w:line="560" w:lineRule="exact"/>
        <w:jc w:val="center"/>
        <w:rPr>
          <w:rFonts w:ascii="Times New Roman" w:hAnsi="Times New Roman" w:eastAsia="楷体" w:cs="Times New Roman"/>
          <w:snapToGrid w:val="0"/>
          <w:kern w:val="0"/>
          <w:sz w:val="32"/>
          <w:szCs w:val="32"/>
        </w:rPr>
      </w:pPr>
    </w:p>
    <w:p w14:paraId="7FA69DF8">
      <w:pPr>
        <w:adjustRightInd w:val="0"/>
        <w:spacing w:line="560" w:lineRule="exact"/>
        <w:jc w:val="center"/>
        <w:rPr>
          <w:rFonts w:ascii="Times New Roman" w:hAnsi="Times New Roman" w:eastAsia="楷体" w:cs="Times New Roman"/>
          <w:snapToGrid w:val="0"/>
          <w:kern w:val="0"/>
          <w:sz w:val="32"/>
          <w:szCs w:val="32"/>
        </w:rPr>
      </w:pPr>
      <w:r>
        <w:rPr>
          <w:rFonts w:ascii="Times New Roman" w:hAnsi="楷体" w:eastAsia="楷体" w:cs="Times New Roman"/>
          <w:snapToGrid w:val="0"/>
          <w:kern w:val="0"/>
          <w:sz w:val="32"/>
          <w:szCs w:val="32"/>
        </w:rPr>
        <w:t>目</w:t>
      </w:r>
      <w:r>
        <w:rPr>
          <w:rFonts w:ascii="Times New Roman" w:hAnsi="Times New Roman" w:eastAsia="楷体" w:cs="Times New Roman"/>
          <w:snapToGrid w:val="0"/>
          <w:kern w:val="0"/>
          <w:sz w:val="32"/>
          <w:szCs w:val="32"/>
        </w:rPr>
        <w:t xml:space="preserve">  </w:t>
      </w:r>
      <w:r>
        <w:rPr>
          <w:rFonts w:ascii="Times New Roman" w:hAnsi="楷体" w:eastAsia="楷体" w:cs="Times New Roman"/>
          <w:snapToGrid w:val="0"/>
          <w:kern w:val="0"/>
          <w:sz w:val="32"/>
          <w:szCs w:val="32"/>
        </w:rPr>
        <w:t>录</w:t>
      </w:r>
    </w:p>
    <w:p w14:paraId="2D2739B5">
      <w:pPr>
        <w:adjustRightInd w:val="0"/>
        <w:spacing w:line="560" w:lineRule="exact"/>
        <w:jc w:val="left"/>
        <w:rPr>
          <w:rFonts w:ascii="Times New Roman" w:hAnsi="Times New Roman" w:eastAsia="楷体" w:cs="Times New Roman"/>
          <w:snapToGrid w:val="0"/>
          <w:kern w:val="0"/>
          <w:sz w:val="32"/>
          <w:szCs w:val="32"/>
        </w:rPr>
      </w:pPr>
      <w:r>
        <w:rPr>
          <w:rFonts w:ascii="Times New Roman" w:hAnsi="楷体" w:eastAsia="楷体" w:cs="Times New Roman"/>
          <w:snapToGrid w:val="0"/>
          <w:kern w:val="0"/>
          <w:sz w:val="32"/>
          <w:szCs w:val="32"/>
        </w:rPr>
        <w:t>第一章</w:t>
      </w:r>
      <w:r>
        <w:rPr>
          <w:rFonts w:ascii="Times New Roman" w:hAnsi="Times New Roman" w:eastAsia="楷体" w:cs="Times New Roman"/>
          <w:snapToGrid w:val="0"/>
          <w:kern w:val="0"/>
          <w:sz w:val="32"/>
          <w:szCs w:val="32"/>
        </w:rPr>
        <w:t xml:space="preserve">  </w:t>
      </w:r>
      <w:r>
        <w:rPr>
          <w:rFonts w:ascii="Times New Roman" w:hAnsi="楷体" w:eastAsia="楷体" w:cs="Times New Roman"/>
          <w:snapToGrid w:val="0"/>
          <w:kern w:val="0"/>
          <w:sz w:val="32"/>
          <w:szCs w:val="32"/>
        </w:rPr>
        <w:t>总则</w:t>
      </w:r>
    </w:p>
    <w:p w14:paraId="6E4BC853">
      <w:pPr>
        <w:adjustRightInd w:val="0"/>
        <w:spacing w:line="560" w:lineRule="exact"/>
        <w:jc w:val="left"/>
        <w:rPr>
          <w:rFonts w:ascii="Times New Roman" w:hAnsi="Times New Roman" w:eastAsia="楷体" w:cs="Times New Roman"/>
          <w:snapToGrid w:val="0"/>
          <w:kern w:val="0"/>
          <w:sz w:val="32"/>
          <w:szCs w:val="32"/>
        </w:rPr>
      </w:pPr>
      <w:r>
        <w:rPr>
          <w:rFonts w:ascii="Times New Roman" w:hAnsi="楷体" w:eastAsia="楷体" w:cs="Times New Roman"/>
          <w:snapToGrid w:val="0"/>
          <w:kern w:val="0"/>
          <w:sz w:val="32"/>
          <w:szCs w:val="32"/>
        </w:rPr>
        <w:t>第二章</w:t>
      </w:r>
      <w:r>
        <w:rPr>
          <w:rFonts w:ascii="Times New Roman" w:hAnsi="Times New Roman" w:eastAsia="楷体" w:cs="Times New Roman"/>
          <w:snapToGrid w:val="0"/>
          <w:kern w:val="0"/>
          <w:sz w:val="32"/>
          <w:szCs w:val="32"/>
        </w:rPr>
        <w:t xml:space="preserve">  </w:t>
      </w:r>
      <w:r>
        <w:rPr>
          <w:rFonts w:ascii="Times New Roman" w:hAnsi="楷体" w:eastAsia="楷体" w:cs="Times New Roman"/>
          <w:snapToGrid w:val="0"/>
          <w:kern w:val="0"/>
          <w:sz w:val="32"/>
          <w:szCs w:val="32"/>
        </w:rPr>
        <w:t>市场环境</w:t>
      </w:r>
    </w:p>
    <w:p w14:paraId="2254005E">
      <w:pPr>
        <w:adjustRightInd w:val="0"/>
        <w:spacing w:line="560" w:lineRule="exact"/>
        <w:jc w:val="left"/>
        <w:rPr>
          <w:rFonts w:ascii="Times New Roman" w:hAnsi="Times New Roman" w:eastAsia="楷体" w:cs="Times New Roman"/>
          <w:snapToGrid w:val="0"/>
          <w:kern w:val="0"/>
          <w:sz w:val="32"/>
          <w:szCs w:val="32"/>
        </w:rPr>
      </w:pPr>
      <w:r>
        <w:rPr>
          <w:rFonts w:ascii="Times New Roman" w:hAnsi="楷体" w:eastAsia="楷体" w:cs="Times New Roman"/>
          <w:snapToGrid w:val="0"/>
          <w:kern w:val="0"/>
          <w:sz w:val="32"/>
          <w:szCs w:val="32"/>
        </w:rPr>
        <w:t>第三章</w:t>
      </w:r>
      <w:r>
        <w:rPr>
          <w:rFonts w:ascii="Times New Roman" w:hAnsi="Times New Roman" w:eastAsia="楷体" w:cs="Times New Roman"/>
          <w:snapToGrid w:val="0"/>
          <w:kern w:val="0"/>
          <w:sz w:val="32"/>
          <w:szCs w:val="32"/>
        </w:rPr>
        <w:t xml:space="preserve">  </w:t>
      </w:r>
      <w:r>
        <w:rPr>
          <w:rFonts w:ascii="Times New Roman" w:hAnsi="楷体" w:eastAsia="楷体" w:cs="Times New Roman"/>
          <w:snapToGrid w:val="0"/>
          <w:kern w:val="0"/>
          <w:sz w:val="32"/>
          <w:szCs w:val="32"/>
        </w:rPr>
        <w:t>政务环境</w:t>
      </w:r>
    </w:p>
    <w:p w14:paraId="5B2317AF">
      <w:pPr>
        <w:adjustRightInd w:val="0"/>
        <w:spacing w:line="560" w:lineRule="exact"/>
        <w:jc w:val="left"/>
        <w:rPr>
          <w:rFonts w:ascii="Times New Roman" w:hAnsi="Times New Roman" w:eastAsia="楷体" w:cs="Times New Roman"/>
          <w:snapToGrid w:val="0"/>
          <w:kern w:val="0"/>
          <w:sz w:val="32"/>
          <w:szCs w:val="32"/>
        </w:rPr>
      </w:pPr>
      <w:r>
        <w:rPr>
          <w:rFonts w:ascii="Times New Roman" w:hAnsi="楷体" w:eastAsia="楷体" w:cs="Times New Roman"/>
          <w:snapToGrid w:val="0"/>
          <w:kern w:val="0"/>
          <w:sz w:val="32"/>
          <w:szCs w:val="32"/>
        </w:rPr>
        <w:t>第</w:t>
      </w:r>
      <w:r>
        <w:rPr>
          <w:rFonts w:hint="eastAsia" w:ascii="Times New Roman" w:hAnsi="楷体" w:eastAsia="楷体" w:cs="Times New Roman"/>
          <w:snapToGrid w:val="0"/>
          <w:kern w:val="0"/>
          <w:sz w:val="32"/>
          <w:szCs w:val="32"/>
          <w:lang w:eastAsia="zh-CN"/>
        </w:rPr>
        <w:t>四</w:t>
      </w:r>
      <w:r>
        <w:rPr>
          <w:rFonts w:ascii="Times New Roman" w:hAnsi="楷体" w:eastAsia="楷体" w:cs="Times New Roman"/>
          <w:snapToGrid w:val="0"/>
          <w:kern w:val="0"/>
          <w:sz w:val="32"/>
          <w:szCs w:val="32"/>
        </w:rPr>
        <w:t>章</w:t>
      </w:r>
      <w:r>
        <w:rPr>
          <w:rFonts w:ascii="Times New Roman" w:hAnsi="Times New Roman" w:eastAsia="楷体" w:cs="Times New Roman"/>
          <w:snapToGrid w:val="0"/>
          <w:kern w:val="0"/>
          <w:sz w:val="32"/>
          <w:szCs w:val="32"/>
        </w:rPr>
        <w:t xml:space="preserve">  </w:t>
      </w:r>
      <w:r>
        <w:rPr>
          <w:rFonts w:ascii="Times New Roman" w:hAnsi="楷体" w:eastAsia="楷体" w:cs="Times New Roman"/>
          <w:snapToGrid w:val="0"/>
          <w:kern w:val="0"/>
          <w:sz w:val="32"/>
          <w:szCs w:val="32"/>
        </w:rPr>
        <w:t>法治环境</w:t>
      </w:r>
    </w:p>
    <w:p w14:paraId="336C444B">
      <w:pPr>
        <w:adjustRightInd w:val="0"/>
        <w:spacing w:line="560" w:lineRule="exact"/>
        <w:jc w:val="left"/>
        <w:rPr>
          <w:rFonts w:ascii="Times New Roman" w:hAnsi="Times New Roman" w:eastAsia="楷体" w:cs="Times New Roman"/>
          <w:snapToGrid w:val="0"/>
          <w:kern w:val="0"/>
          <w:sz w:val="32"/>
          <w:szCs w:val="32"/>
        </w:rPr>
      </w:pPr>
      <w:r>
        <w:rPr>
          <w:rFonts w:ascii="Times New Roman" w:hAnsi="楷体" w:eastAsia="楷体" w:cs="Times New Roman"/>
          <w:snapToGrid w:val="0"/>
          <w:kern w:val="0"/>
          <w:sz w:val="32"/>
          <w:szCs w:val="32"/>
        </w:rPr>
        <w:t>第</w:t>
      </w:r>
      <w:r>
        <w:rPr>
          <w:rFonts w:hint="eastAsia" w:ascii="Times New Roman" w:hAnsi="楷体" w:eastAsia="楷体" w:cs="Times New Roman"/>
          <w:snapToGrid w:val="0"/>
          <w:kern w:val="0"/>
          <w:sz w:val="32"/>
          <w:szCs w:val="32"/>
          <w:lang w:eastAsia="zh-CN"/>
        </w:rPr>
        <w:t>五</w:t>
      </w:r>
      <w:r>
        <w:rPr>
          <w:rFonts w:ascii="Times New Roman" w:hAnsi="楷体" w:eastAsia="楷体" w:cs="Times New Roman"/>
          <w:snapToGrid w:val="0"/>
          <w:kern w:val="0"/>
          <w:sz w:val="32"/>
          <w:szCs w:val="32"/>
        </w:rPr>
        <w:t>章</w:t>
      </w:r>
      <w:r>
        <w:rPr>
          <w:rFonts w:ascii="Times New Roman" w:hAnsi="Times New Roman" w:eastAsia="楷体" w:cs="Times New Roman"/>
          <w:snapToGrid w:val="0"/>
          <w:kern w:val="0"/>
          <w:sz w:val="32"/>
          <w:szCs w:val="32"/>
        </w:rPr>
        <w:t xml:space="preserve">  </w:t>
      </w:r>
      <w:r>
        <w:rPr>
          <w:rFonts w:hint="eastAsia" w:ascii="Times New Roman" w:hAnsi="楷体" w:eastAsia="楷体" w:cs="Times New Roman"/>
          <w:snapToGrid w:val="0"/>
          <w:kern w:val="0"/>
          <w:sz w:val="32"/>
          <w:szCs w:val="32"/>
        </w:rPr>
        <w:t>人文</w:t>
      </w:r>
      <w:r>
        <w:rPr>
          <w:rFonts w:ascii="Times New Roman" w:hAnsi="楷体" w:eastAsia="楷体" w:cs="Times New Roman"/>
          <w:snapToGrid w:val="0"/>
          <w:kern w:val="0"/>
          <w:sz w:val="32"/>
          <w:szCs w:val="32"/>
        </w:rPr>
        <w:t>环境</w:t>
      </w:r>
    </w:p>
    <w:p w14:paraId="29D801B4">
      <w:pPr>
        <w:adjustRightInd w:val="0"/>
        <w:spacing w:line="560" w:lineRule="exact"/>
        <w:jc w:val="left"/>
        <w:rPr>
          <w:rFonts w:ascii="Times New Roman" w:hAnsi="Times New Roman" w:eastAsia="楷体" w:cs="Times New Roman"/>
          <w:snapToGrid w:val="0"/>
          <w:kern w:val="0"/>
          <w:sz w:val="32"/>
          <w:szCs w:val="32"/>
        </w:rPr>
      </w:pPr>
      <w:r>
        <w:rPr>
          <w:rFonts w:ascii="Times New Roman" w:hAnsi="楷体" w:eastAsia="楷体" w:cs="Times New Roman"/>
          <w:snapToGrid w:val="0"/>
          <w:kern w:val="0"/>
          <w:sz w:val="32"/>
          <w:szCs w:val="32"/>
        </w:rPr>
        <w:t>第</w:t>
      </w:r>
      <w:r>
        <w:rPr>
          <w:rFonts w:hint="eastAsia" w:ascii="Times New Roman" w:hAnsi="楷体" w:eastAsia="楷体" w:cs="Times New Roman"/>
          <w:snapToGrid w:val="0"/>
          <w:kern w:val="0"/>
          <w:sz w:val="32"/>
          <w:szCs w:val="32"/>
          <w:lang w:eastAsia="zh-CN"/>
        </w:rPr>
        <w:t>六</w:t>
      </w:r>
      <w:r>
        <w:rPr>
          <w:rFonts w:ascii="Times New Roman" w:hAnsi="楷体" w:eastAsia="楷体" w:cs="Times New Roman"/>
          <w:snapToGrid w:val="0"/>
          <w:kern w:val="0"/>
          <w:sz w:val="32"/>
          <w:szCs w:val="32"/>
        </w:rPr>
        <w:t>章</w:t>
      </w:r>
      <w:r>
        <w:rPr>
          <w:rFonts w:ascii="Times New Roman" w:hAnsi="Times New Roman" w:eastAsia="楷体" w:cs="Times New Roman"/>
          <w:snapToGrid w:val="0"/>
          <w:kern w:val="0"/>
          <w:sz w:val="32"/>
          <w:szCs w:val="32"/>
        </w:rPr>
        <w:t xml:space="preserve">  </w:t>
      </w:r>
      <w:r>
        <w:rPr>
          <w:rFonts w:ascii="Times New Roman" w:hAnsi="楷体" w:eastAsia="楷体" w:cs="Times New Roman"/>
          <w:snapToGrid w:val="0"/>
          <w:kern w:val="0"/>
          <w:sz w:val="32"/>
          <w:szCs w:val="32"/>
        </w:rPr>
        <w:t>监督保障</w:t>
      </w:r>
    </w:p>
    <w:p w14:paraId="60CCCF83">
      <w:pPr>
        <w:adjustRightInd w:val="0"/>
        <w:spacing w:line="560" w:lineRule="exact"/>
        <w:jc w:val="left"/>
        <w:rPr>
          <w:rFonts w:ascii="Times New Roman" w:hAnsi="Times New Roman" w:eastAsia="楷体" w:cs="Times New Roman"/>
          <w:snapToGrid w:val="0"/>
          <w:kern w:val="0"/>
          <w:sz w:val="32"/>
          <w:szCs w:val="32"/>
        </w:rPr>
      </w:pPr>
      <w:r>
        <w:rPr>
          <w:rFonts w:ascii="Times New Roman" w:hAnsi="楷体" w:eastAsia="楷体" w:cs="Times New Roman"/>
          <w:snapToGrid w:val="0"/>
          <w:kern w:val="0"/>
          <w:sz w:val="32"/>
          <w:szCs w:val="32"/>
        </w:rPr>
        <w:t>第</w:t>
      </w:r>
      <w:r>
        <w:rPr>
          <w:rFonts w:hint="eastAsia" w:ascii="Times New Roman" w:hAnsi="楷体" w:eastAsia="楷体" w:cs="Times New Roman"/>
          <w:snapToGrid w:val="0"/>
          <w:kern w:val="0"/>
          <w:sz w:val="32"/>
          <w:szCs w:val="32"/>
          <w:lang w:eastAsia="zh-CN"/>
        </w:rPr>
        <w:t>七</w:t>
      </w:r>
      <w:r>
        <w:rPr>
          <w:rFonts w:ascii="Times New Roman" w:hAnsi="楷体" w:eastAsia="楷体" w:cs="Times New Roman"/>
          <w:snapToGrid w:val="0"/>
          <w:kern w:val="0"/>
          <w:sz w:val="32"/>
          <w:szCs w:val="32"/>
        </w:rPr>
        <w:t>章</w:t>
      </w:r>
      <w:r>
        <w:rPr>
          <w:rFonts w:ascii="Times New Roman" w:hAnsi="Times New Roman" w:eastAsia="楷体" w:cs="Times New Roman"/>
          <w:snapToGrid w:val="0"/>
          <w:kern w:val="0"/>
          <w:sz w:val="32"/>
          <w:szCs w:val="32"/>
        </w:rPr>
        <w:t xml:space="preserve">  </w:t>
      </w:r>
      <w:r>
        <w:rPr>
          <w:rFonts w:ascii="Times New Roman" w:hAnsi="楷体" w:eastAsia="楷体" w:cs="Times New Roman"/>
          <w:snapToGrid w:val="0"/>
          <w:kern w:val="0"/>
          <w:sz w:val="32"/>
          <w:szCs w:val="32"/>
        </w:rPr>
        <w:t>附则</w:t>
      </w:r>
    </w:p>
    <w:p w14:paraId="4098ECFC">
      <w:pPr>
        <w:widowControl/>
        <w:shd w:val="clear" w:color="auto" w:fill="FFFFFF"/>
        <w:jc w:val="left"/>
        <w:outlineLvl w:val="1"/>
        <w:rPr>
          <w:rFonts w:ascii="Times New Roman" w:hAnsi="Times New Roman" w:eastAsia="仿宋_GB2312" w:cs="Times New Roman"/>
          <w:sz w:val="32"/>
          <w:szCs w:val="32"/>
        </w:rPr>
      </w:pPr>
    </w:p>
    <w:p w14:paraId="60595205">
      <w:pPr>
        <w:widowControl/>
        <w:shd w:val="clear" w:color="auto" w:fill="FFFFFF"/>
        <w:jc w:val="center"/>
        <w:outlineLvl w:val="1"/>
        <w:rPr>
          <w:rFonts w:ascii="Times New Roman" w:hAnsi="Times New Roman" w:eastAsia="黑体" w:cs="Times New Roman"/>
          <w:sz w:val="32"/>
          <w:szCs w:val="32"/>
        </w:rPr>
      </w:pPr>
      <w:r>
        <w:rPr>
          <w:rFonts w:ascii="Times New Roman" w:hAnsi="黑体" w:eastAsia="黑体" w:cs="Times New Roman"/>
          <w:sz w:val="32"/>
          <w:szCs w:val="32"/>
        </w:rPr>
        <w:t>第一章</w:t>
      </w:r>
      <w:r>
        <w:rPr>
          <w:rFonts w:ascii="Times New Roman" w:hAnsi="Times New Roman" w:eastAsia="黑体" w:cs="Times New Roman"/>
          <w:sz w:val="32"/>
          <w:szCs w:val="32"/>
        </w:rPr>
        <w:t> </w:t>
      </w:r>
      <w:r>
        <w:rPr>
          <w:rFonts w:ascii="Times New Roman" w:hAnsi="黑体" w:eastAsia="黑体" w:cs="Times New Roman"/>
          <w:sz w:val="32"/>
          <w:szCs w:val="32"/>
        </w:rPr>
        <w:t>总则</w:t>
      </w:r>
    </w:p>
    <w:p w14:paraId="608509A1">
      <w:pPr>
        <w:widowControl/>
        <w:shd w:val="clear" w:color="auto" w:fill="FFFFFF"/>
        <w:jc w:val="left"/>
        <w:rPr>
          <w:rFonts w:ascii="Times New Roman" w:hAnsi="Times New Roman" w:eastAsia="仿宋_GB2312" w:cs="Times New Roman"/>
          <w:sz w:val="32"/>
          <w:szCs w:val="32"/>
        </w:rPr>
      </w:pPr>
    </w:p>
    <w:p w14:paraId="5468BF3F">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第一条 </w:t>
      </w:r>
      <w:r>
        <w:rPr>
          <w:rFonts w:ascii="Times New Roman" w:hAnsi="Times New Roman" w:eastAsia="仿宋_GB2312" w:cs="Times New Roman"/>
          <w:sz w:val="32"/>
          <w:szCs w:val="32"/>
        </w:rPr>
        <w:t>为了持续优化营商环境，维护各类经营主体合法权益，激发市场活力和社会创造力，推进治理体系和治理能力现代化，推动高质量发展，根据国务院《优化营商环境条例》《江苏省优化营商环境条例》等法律、法规，结合本市实际，制定本条例。</w:t>
      </w:r>
    </w:p>
    <w:p w14:paraId="1CCAEB04">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第二条 </w:t>
      </w:r>
      <w:r>
        <w:rPr>
          <w:rFonts w:ascii="Times New Roman" w:hAnsi="Times New Roman" w:eastAsia="仿宋_GB2312" w:cs="Times New Roman"/>
          <w:sz w:val="32"/>
          <w:szCs w:val="32"/>
        </w:rPr>
        <w:t>本市行政区域内优化营商环境工作，适用本条例。</w:t>
      </w:r>
    </w:p>
    <w:p w14:paraId="335FBB9D">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第三条 </w:t>
      </w:r>
      <w:r>
        <w:rPr>
          <w:rFonts w:ascii="Times New Roman" w:hAnsi="Times New Roman" w:eastAsia="仿宋_GB2312" w:cs="Times New Roman"/>
          <w:sz w:val="32"/>
          <w:szCs w:val="32"/>
        </w:rPr>
        <w:t>优化营商环境应当坚持市场化、法治化、国际化原则，</w:t>
      </w:r>
      <w:r>
        <w:rPr>
          <w:rFonts w:hint="eastAsia" w:ascii="Times New Roman" w:hAnsi="Times New Roman" w:eastAsia="仿宋_GB2312" w:cs="Times New Roman"/>
          <w:color w:val="auto"/>
          <w:sz w:val="32"/>
          <w:szCs w:val="32"/>
        </w:rPr>
        <w:t>平等保护各类经营主体合法权益</w:t>
      </w:r>
      <w:r>
        <w:rPr>
          <w:rFonts w:hint="eastAsia" w:ascii="Times New Roman" w:hAnsi="Times New Roman" w:eastAsia="仿宋_GB2312" w:cs="Times New Roman"/>
          <w:color w:val="auto"/>
          <w:sz w:val="32"/>
          <w:szCs w:val="32"/>
          <w:lang w:eastAsia="zh-CN"/>
        </w:rPr>
        <w:t>，</w:t>
      </w:r>
      <w:r>
        <w:rPr>
          <w:rFonts w:ascii="Times New Roman" w:hAnsi="Times New Roman" w:eastAsia="仿宋_GB2312" w:cs="Times New Roman"/>
          <w:color w:val="auto"/>
          <w:sz w:val="32"/>
          <w:szCs w:val="32"/>
        </w:rPr>
        <w:t>以政府职能转变为核心，以经营主体需求为导向，以经营主体获得感为评价标准，全力打造</w:t>
      </w:r>
      <w:r>
        <w:rPr>
          <w:rFonts w:hint="eastAsia" w:ascii="Times New Roman" w:hAnsi="Times New Roman" w:eastAsia="仿宋_GB2312" w:cs="Times New Roman"/>
          <w:color w:val="auto"/>
          <w:sz w:val="32"/>
          <w:szCs w:val="32"/>
          <w:lang w:eastAsia="zh-CN"/>
        </w:rPr>
        <w:t>“宿迁速办”</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宿迁帮办</w:t>
      </w:r>
      <w:r>
        <w:rPr>
          <w:rFonts w:hint="eastAsia"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“宿迁免费办”</w:t>
      </w:r>
      <w:r>
        <w:rPr>
          <w:rFonts w:ascii="Times New Roman" w:hAnsi="Times New Roman" w:eastAsia="仿宋_GB2312" w:cs="Times New Roman"/>
          <w:color w:val="auto"/>
          <w:sz w:val="32"/>
          <w:szCs w:val="32"/>
        </w:rPr>
        <w:t>服务品牌，为各类</w:t>
      </w:r>
      <w:r>
        <w:rPr>
          <w:rFonts w:ascii="Times New Roman" w:hAnsi="Times New Roman" w:eastAsia="仿宋_GB2312" w:cs="Times New Roman"/>
          <w:sz w:val="32"/>
          <w:szCs w:val="32"/>
        </w:rPr>
        <w:t>经营主体投资兴业营造稳定、公平、透明、可预期的营商环境</w:t>
      </w:r>
      <w:r>
        <w:rPr>
          <w:rFonts w:hint="eastAsia" w:ascii="Times New Roman" w:hAnsi="Times New Roman" w:eastAsia="仿宋_GB2312" w:cs="Times New Roman"/>
          <w:sz w:val="32"/>
          <w:szCs w:val="32"/>
        </w:rPr>
        <w:t>。</w:t>
      </w:r>
    </w:p>
    <w:p w14:paraId="7CD1C342">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第四条 </w:t>
      </w:r>
      <w:bookmarkStart w:id="1" w:name="OLE_LINK17"/>
      <w:bookmarkStart w:id="2" w:name="OLE_LINK25"/>
      <w:bookmarkStart w:id="3" w:name="OLE_LINK16"/>
      <w:r>
        <w:rPr>
          <w:rFonts w:ascii="Times New Roman" w:hAnsi="Times New Roman" w:eastAsia="仿宋_GB2312" w:cs="Times New Roman"/>
          <w:sz w:val="32"/>
          <w:szCs w:val="32"/>
        </w:rPr>
        <w:t>市、县（区）人民政府</w:t>
      </w:r>
      <w:bookmarkEnd w:id="1"/>
      <w:bookmarkEnd w:id="2"/>
      <w:bookmarkEnd w:id="3"/>
      <w:r>
        <w:rPr>
          <w:rFonts w:ascii="Times New Roman" w:hAnsi="Times New Roman" w:eastAsia="仿宋_GB2312" w:cs="Times New Roman"/>
          <w:sz w:val="32"/>
          <w:szCs w:val="32"/>
        </w:rPr>
        <w:t>应当加强对优化营商环境工作的组织领导，统筹推进优化营商环境集成改革，持续完善优化营商环境政策措施，建立健全协调和落实机制，解决影响营商环境的重大问题。各级政府主要负责人是本行政区域优化营商环境工作的第一责任人。</w:t>
      </w:r>
    </w:p>
    <w:p w14:paraId="02E3B0B8">
      <w:pPr>
        <w:widowControl/>
        <w:shd w:val="clear" w:color="auto" w:fill="FFFFFF"/>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开发区（园区）、旅游度假区管理机构应当按照市、县（区）人民政府规定的职责，发挥示范引领作用，做好管理区域内优化营商环境工作。</w:t>
      </w:r>
    </w:p>
    <w:p w14:paraId="78358B9E">
      <w:pPr>
        <w:widowControl/>
        <w:shd w:val="clear" w:color="auto" w:fill="FFFFFF"/>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发展改革部门是优化营商环境工作主管部门，负责组织、指导、协调优化营商环境日常工作。市发展改革部门负责组织</w:t>
      </w:r>
      <w:r>
        <w:rPr>
          <w:rFonts w:hint="eastAsia" w:ascii="Times New Roman" w:hAnsi="Times New Roman" w:eastAsia="仿宋_GB2312" w:cs="Times New Roman"/>
          <w:sz w:val="32"/>
          <w:szCs w:val="32"/>
        </w:rPr>
        <w:t>实施本条例。</w:t>
      </w:r>
      <w:r>
        <w:rPr>
          <w:rFonts w:ascii="Times New Roman" w:hAnsi="Times New Roman" w:eastAsia="仿宋_GB2312" w:cs="Times New Roman"/>
          <w:sz w:val="32"/>
          <w:szCs w:val="32"/>
        </w:rPr>
        <w:t>其他有关部门应当按照各自职责，协同做好优化营商环境相关工作</w:t>
      </w:r>
      <w:r>
        <w:rPr>
          <w:rFonts w:hint="eastAsia" w:ascii="Times New Roman" w:hAnsi="Times New Roman" w:eastAsia="仿宋_GB2312" w:cs="Times New Roman"/>
          <w:sz w:val="32"/>
          <w:szCs w:val="32"/>
        </w:rPr>
        <w:t>。</w:t>
      </w:r>
    </w:p>
    <w:p w14:paraId="73D0E2D6">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第五条 </w:t>
      </w:r>
      <w:r>
        <w:rPr>
          <w:rFonts w:ascii="Times New Roman" w:hAnsi="Times New Roman" w:eastAsia="仿宋_GB2312" w:cs="Times New Roman"/>
          <w:sz w:val="32"/>
          <w:szCs w:val="32"/>
        </w:rPr>
        <w:t>鼓励和支持各地区、各部门在法治框架内探索集成化、差异化、原创性的优化营商环境</w:t>
      </w:r>
      <w:r>
        <w:rPr>
          <w:rFonts w:hint="eastAsia" w:ascii="Times New Roman" w:hAnsi="Times New Roman" w:eastAsia="仿宋_GB2312" w:cs="Times New Roman"/>
          <w:sz w:val="32"/>
          <w:szCs w:val="32"/>
        </w:rPr>
        <w:t>改革</w:t>
      </w:r>
      <w:r>
        <w:rPr>
          <w:rFonts w:ascii="Times New Roman" w:hAnsi="Times New Roman" w:eastAsia="仿宋_GB2312" w:cs="Times New Roman"/>
          <w:sz w:val="32"/>
          <w:szCs w:val="32"/>
        </w:rPr>
        <w:t>措施，对行之有效的改革措施在全市推广。优化营商环境主管部门应当建立优化营商环境典型案例发布制度。</w:t>
      </w:r>
    </w:p>
    <w:p w14:paraId="5FE47068">
      <w:pPr>
        <w:widowControl/>
        <w:shd w:val="clear" w:color="auto" w:fill="FFFFFF"/>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在营商环境改革创新、先行先试工作中出现失误或者偏差，符合规定条件且勤勉尽责、未牟取私利的，对有关单位和个人依法予以免责或者减轻责任。</w:t>
      </w:r>
    </w:p>
    <w:p w14:paraId="398267C9">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第六条 </w:t>
      </w:r>
      <w:r>
        <w:rPr>
          <w:rFonts w:ascii="Times New Roman" w:hAnsi="Times New Roman" w:eastAsia="仿宋_GB2312" w:cs="Times New Roman"/>
          <w:sz w:val="32"/>
          <w:szCs w:val="32"/>
        </w:rPr>
        <w:t>加强与长江三角洲区域及淮海经济区相关城市的交流合作，推动政务服务标准统一、资质互认、数据共享、跨域通办，促进要素有序自由流动，构建区域协同发展的营商环境。</w:t>
      </w:r>
    </w:p>
    <w:p w14:paraId="45983CCE">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第七条 </w:t>
      </w:r>
      <w:r>
        <w:rPr>
          <w:rFonts w:ascii="Times New Roman" w:hAnsi="Times New Roman" w:eastAsia="仿宋_GB2312" w:cs="Times New Roman"/>
          <w:sz w:val="32"/>
          <w:szCs w:val="32"/>
        </w:rPr>
        <w:t>弘扬新时代企业家精神，营造尊重企业家价值、鼓励企业家创新、发挥企业家作用的浓厚社会氛围。每年9月27日为</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宿迁企业家日</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p>
    <w:p w14:paraId="03FD2D05">
      <w:pPr>
        <w:widowControl/>
        <w:shd w:val="clear" w:color="auto" w:fill="FFFFFF"/>
        <w:spacing w:line="480" w:lineRule="exact"/>
        <w:jc w:val="center"/>
        <w:outlineLvl w:val="1"/>
        <w:rPr>
          <w:rFonts w:ascii="Times New Roman" w:hAnsi="Times New Roman" w:eastAsia="黑体" w:cs="Times New Roman"/>
          <w:sz w:val="32"/>
          <w:szCs w:val="32"/>
        </w:rPr>
      </w:pPr>
    </w:p>
    <w:p w14:paraId="6C0C0E5E">
      <w:pPr>
        <w:widowControl/>
        <w:shd w:val="clear" w:color="auto" w:fill="FFFFFF"/>
        <w:spacing w:line="480" w:lineRule="exact"/>
        <w:jc w:val="center"/>
        <w:outlineLvl w:val="1"/>
        <w:rPr>
          <w:rFonts w:ascii="Times New Roman" w:hAnsi="Times New Roman" w:eastAsia="黑体" w:cs="Times New Roman"/>
          <w:sz w:val="32"/>
          <w:szCs w:val="32"/>
        </w:rPr>
      </w:pPr>
      <w:r>
        <w:rPr>
          <w:rFonts w:ascii="Times New Roman" w:hAnsi="黑体" w:eastAsia="黑体" w:cs="Times New Roman"/>
          <w:sz w:val="32"/>
          <w:szCs w:val="32"/>
        </w:rPr>
        <w:t>第二章</w:t>
      </w:r>
      <w:r>
        <w:rPr>
          <w:rFonts w:ascii="Times New Roman" w:hAnsi="Times New Roman" w:eastAsia="黑体" w:cs="Times New Roman"/>
          <w:sz w:val="32"/>
          <w:szCs w:val="32"/>
        </w:rPr>
        <w:t> </w:t>
      </w:r>
      <w:r>
        <w:rPr>
          <w:rFonts w:ascii="Times New Roman" w:hAnsi="黑体" w:eastAsia="黑体" w:cs="Times New Roman"/>
          <w:sz w:val="32"/>
          <w:szCs w:val="32"/>
        </w:rPr>
        <w:t>市场环境</w:t>
      </w:r>
    </w:p>
    <w:p w14:paraId="1A84C67F">
      <w:pPr>
        <w:widowControl/>
        <w:shd w:val="clear" w:color="auto" w:fill="FFFFFF"/>
        <w:spacing w:line="480" w:lineRule="exact"/>
        <w:jc w:val="center"/>
        <w:outlineLvl w:val="1"/>
        <w:rPr>
          <w:rFonts w:ascii="Times New Roman" w:hAnsi="Times New Roman" w:eastAsia="黑体" w:cs="Times New Roman"/>
          <w:sz w:val="32"/>
          <w:szCs w:val="32"/>
        </w:rPr>
      </w:pPr>
    </w:p>
    <w:p w14:paraId="685D0F79">
      <w:pPr>
        <w:widowControl/>
        <w:shd w:val="clear" w:color="auto" w:fill="FFFFFF"/>
        <w:ind w:firstLine="643" w:firstLineChars="200"/>
        <w:jc w:val="left"/>
        <w:rPr>
          <w:rFonts w:ascii="Times New Roman" w:hAnsi="Times New Roman" w:eastAsia="仿宋_GB2312" w:cs="Times New Roman"/>
          <w:sz w:val="32"/>
          <w:szCs w:val="32"/>
        </w:rPr>
      </w:pPr>
      <w:bookmarkStart w:id="4" w:name="OLE_LINK12"/>
      <w:bookmarkStart w:id="5" w:name="OLE_LINK13"/>
      <w:r>
        <w:rPr>
          <w:rFonts w:ascii="Times New Roman" w:hAnsi="Times New Roman" w:eastAsia="仿宋_GB2312" w:cs="Times New Roman"/>
          <w:b/>
          <w:sz w:val="32"/>
          <w:szCs w:val="32"/>
        </w:rPr>
        <w:t>第八条 </w:t>
      </w:r>
      <w:bookmarkEnd w:id="4"/>
      <w:bookmarkEnd w:id="5"/>
      <w:r>
        <w:rPr>
          <w:rFonts w:ascii="Times New Roman" w:hAnsi="Times New Roman" w:eastAsia="仿宋_GB2312" w:cs="Times New Roman"/>
          <w:sz w:val="32"/>
          <w:szCs w:val="32"/>
        </w:rPr>
        <w:t>全面落实国家市场准入负面清单制度，</w:t>
      </w:r>
      <w:r>
        <w:rPr>
          <w:rFonts w:hint="eastAsia" w:ascii="Times New Roman" w:hAnsi="Times New Roman" w:eastAsia="仿宋_GB2312" w:cs="Times New Roman"/>
          <w:sz w:val="32"/>
          <w:szCs w:val="32"/>
        </w:rPr>
        <w:t>市场准入负面清单以外的领域，各类经营主体均可以依法平等进入。</w:t>
      </w:r>
    </w:p>
    <w:p w14:paraId="15831292">
      <w:pPr>
        <w:widowControl/>
        <w:shd w:val="clear" w:color="auto" w:fill="FFFFFF"/>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全面落实外商投资准入前国民待遇加负面清单管理制度。外商投资准入负面清单以外的领域，按照内外资一致的原则实施管理。</w:t>
      </w:r>
    </w:p>
    <w:p w14:paraId="1C7E3E9B">
      <w:pPr>
        <w:widowControl/>
        <w:shd w:val="clear" w:color="auto" w:fill="FFFFFF"/>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畅通市场退出渠道</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建立注销协调工作机制，对符合条件的经营主体实行简易注销</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建立经营异常企业公益清算退出机制</w:t>
      </w:r>
      <w:r>
        <w:rPr>
          <w:rFonts w:hint="eastAsia" w:ascii="Times New Roman" w:hAnsi="Times New Roman" w:eastAsia="仿宋_GB2312" w:cs="Times New Roman"/>
          <w:sz w:val="32"/>
          <w:szCs w:val="32"/>
        </w:rPr>
        <w:t>，市场</w:t>
      </w:r>
      <w:r>
        <w:rPr>
          <w:rFonts w:ascii="Times New Roman" w:hAnsi="Times New Roman" w:eastAsia="仿宋_GB2312" w:cs="Times New Roman"/>
          <w:sz w:val="32"/>
          <w:szCs w:val="32"/>
        </w:rPr>
        <w:t>监督管理部门可以向人民法院申请对吊销未注销的</w:t>
      </w:r>
      <w:r>
        <w:rPr>
          <w:rFonts w:hint="eastAsia" w:ascii="Times New Roman" w:hAnsi="Times New Roman" w:eastAsia="仿宋_GB2312" w:cs="Times New Roman"/>
          <w:sz w:val="32"/>
          <w:szCs w:val="32"/>
        </w:rPr>
        <w:t>企业</w:t>
      </w:r>
      <w:r>
        <w:rPr>
          <w:rFonts w:ascii="Times New Roman" w:hAnsi="Times New Roman" w:eastAsia="仿宋_GB2312" w:cs="Times New Roman"/>
          <w:sz w:val="32"/>
          <w:szCs w:val="32"/>
        </w:rPr>
        <w:t>强制清算</w:t>
      </w:r>
      <w:r>
        <w:rPr>
          <w:rFonts w:hint="eastAsia" w:ascii="Times New Roman" w:hAnsi="Times New Roman" w:eastAsia="仿宋_GB2312" w:cs="Times New Roman"/>
          <w:sz w:val="32"/>
          <w:szCs w:val="32"/>
        </w:rPr>
        <w:t>。</w:t>
      </w:r>
    </w:p>
    <w:p w14:paraId="4E3B3E24">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w:t>
      </w:r>
      <w:r>
        <w:rPr>
          <w:rFonts w:hint="eastAsia" w:ascii="Times New Roman" w:hAnsi="Times New Roman" w:eastAsia="仿宋_GB2312" w:cs="Times New Roman"/>
          <w:b/>
          <w:sz w:val="32"/>
          <w:szCs w:val="32"/>
        </w:rPr>
        <w:t>九</w:t>
      </w:r>
      <w:r>
        <w:rPr>
          <w:rFonts w:ascii="Times New Roman" w:hAnsi="Times New Roman" w:eastAsia="仿宋_GB2312" w:cs="Times New Roman"/>
          <w:b/>
          <w:sz w:val="32"/>
          <w:szCs w:val="32"/>
        </w:rPr>
        <w:t>条 </w:t>
      </w:r>
      <w:r>
        <w:rPr>
          <w:rFonts w:hint="eastAsia" w:ascii="Times New Roman" w:hAnsi="Times New Roman" w:eastAsia="仿宋_GB2312" w:cs="Times New Roman"/>
          <w:sz w:val="32"/>
          <w:szCs w:val="32"/>
        </w:rPr>
        <w:t>深化商事制度改革，简化企业登记办理流程，压缩办理时间。简化企业市内跨区域迁移程序，不得对企业市内跨区域迁移和变更经营地设置不合理条件。</w:t>
      </w:r>
    </w:p>
    <w:p w14:paraId="06C5997A">
      <w:pPr>
        <w:widowControl/>
        <w:shd w:val="clear" w:color="auto" w:fill="FFFFFF"/>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深化跨县（区）</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一照多址</w:t>
      </w:r>
      <w:r>
        <w:rPr>
          <w:rFonts w:hint="eastAsia" w:ascii="Times New Roman" w:hAnsi="Times New Roman" w:eastAsia="仿宋_GB2312" w:cs="Times New Roman"/>
          <w:sz w:val="32"/>
          <w:szCs w:val="32"/>
        </w:rPr>
        <w:t>”登记</w:t>
      </w:r>
      <w:r>
        <w:rPr>
          <w:rFonts w:ascii="Times New Roman" w:hAnsi="Times New Roman" w:eastAsia="仿宋_GB2312" w:cs="Times New Roman"/>
          <w:sz w:val="32"/>
          <w:szCs w:val="32"/>
        </w:rPr>
        <w:t>改革，</w:t>
      </w:r>
      <w:r>
        <w:rPr>
          <w:rFonts w:hint="eastAsia" w:ascii="Times New Roman" w:hAnsi="Times New Roman" w:eastAsia="仿宋_GB2312" w:cs="Times New Roman"/>
          <w:sz w:val="32"/>
          <w:szCs w:val="32"/>
        </w:rPr>
        <w:t>推行经营场所在线核验。</w:t>
      </w:r>
    </w:p>
    <w:p w14:paraId="2B9B1F37">
      <w:pPr>
        <w:widowControl/>
        <w:shd w:val="clear" w:color="auto" w:fill="FFFFFF"/>
        <w:ind w:firstLine="643"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第十条　</w:t>
      </w:r>
      <w:r>
        <w:rPr>
          <w:rFonts w:hint="eastAsia" w:ascii="Times New Roman" w:hAnsi="Times New Roman" w:eastAsia="仿宋_GB2312" w:cs="Times New Roman"/>
          <w:kern w:val="0"/>
          <w:sz w:val="32"/>
          <w:szCs w:val="32"/>
        </w:rPr>
        <w:t>市、县（区）</w:t>
      </w:r>
      <w:r>
        <w:rPr>
          <w:rFonts w:hint="eastAsia" w:ascii="Times New Roman" w:hAnsi="Times New Roman" w:eastAsia="仿宋_GB2312" w:cs="Times New Roman"/>
          <w:sz w:val="32"/>
          <w:szCs w:val="32"/>
        </w:rPr>
        <w:t>人民政府应当统筹配置土地要素资源，制定完善政策措施，建立健全城乡统一的建设用地市场，加强产业用地储备，加强产业用地的供应管理与服务，提高土地资源利用和配置效率，依法保障各类经营主体用地需求。</w:t>
      </w:r>
    </w:p>
    <w:p w14:paraId="248A2DD8">
      <w:pPr>
        <w:widowControl/>
        <w:shd w:val="clear" w:color="auto" w:fill="FFFFFF"/>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引导和支持经营主体在符合国土空间规划的前提下，参与低效用地再开发。对不改变用途的现有工业用地，依法改造开发后提高土地利用率和增加容积率的，不再增收土地价款。</w:t>
      </w:r>
    </w:p>
    <w:p w14:paraId="294A80E8">
      <w:pPr>
        <w:widowControl/>
        <w:shd w:val="clear" w:color="auto" w:fill="FFFFFF"/>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color w:val="auto"/>
          <w:sz w:val="32"/>
          <w:szCs w:val="32"/>
          <w:highlight w:val="none"/>
          <w:lang w:eastAsia="zh-CN"/>
        </w:rPr>
        <w:t>鼓励</w:t>
      </w:r>
      <w:r>
        <w:rPr>
          <w:rFonts w:hint="eastAsia" w:ascii="Times New Roman" w:hAnsi="Times New Roman" w:eastAsia="仿宋_GB2312" w:cs="Times New Roman"/>
          <w:sz w:val="32"/>
          <w:szCs w:val="32"/>
          <w:highlight w:val="none"/>
        </w:rPr>
        <w:t>加强工业片区整体配套建设，在工业片区内合理布局工业邻里中心，</w:t>
      </w:r>
      <w:r>
        <w:rPr>
          <w:rFonts w:hint="eastAsia" w:ascii="Times New Roman" w:hAnsi="Times New Roman" w:eastAsia="仿宋_GB2312" w:cs="Times New Roman"/>
          <w:sz w:val="32"/>
          <w:szCs w:val="32"/>
        </w:rPr>
        <w:t>集中配置停车场、商务、生活服务、租赁住房、绿地等公共配套和服务设施。</w:t>
      </w:r>
    </w:p>
    <w:p w14:paraId="6E9776D1">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w:t>
      </w:r>
      <w:r>
        <w:rPr>
          <w:rFonts w:hint="eastAsia" w:ascii="Times New Roman" w:hAnsi="Times New Roman" w:eastAsia="仿宋_GB2312" w:cs="Times New Roman"/>
          <w:b/>
          <w:sz w:val="32"/>
          <w:szCs w:val="32"/>
        </w:rPr>
        <w:t>十一</w:t>
      </w:r>
      <w:r>
        <w:rPr>
          <w:rFonts w:ascii="Times New Roman" w:hAnsi="Times New Roman" w:eastAsia="仿宋_GB2312" w:cs="Times New Roman"/>
          <w:b/>
          <w:sz w:val="32"/>
          <w:szCs w:val="32"/>
        </w:rPr>
        <w:t>条 </w:t>
      </w:r>
      <w:r>
        <w:rPr>
          <w:rFonts w:hint="eastAsia" w:ascii="Times New Roman" w:hAnsi="Times New Roman" w:eastAsia="仿宋_GB2312" w:cs="Times New Roman"/>
          <w:sz w:val="32"/>
          <w:szCs w:val="32"/>
        </w:rPr>
        <w:t>建立健全劳动关系协商协调机制，完善应急处置机制，畅通劳动者维权渠道，依法保护劳动者合法权益。</w:t>
      </w:r>
    </w:p>
    <w:p w14:paraId="6AAB68C3">
      <w:pPr>
        <w:widowControl/>
        <w:shd w:val="clear" w:color="auto" w:fill="FFFFFF"/>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完善一站式人才服务平台，制定并落实人才引进、培养、交流、评价、激励等制度，为经营主体提供用工指导、政策咨询、劳动关系协商协调等服务，推动零工市场规范化建设，加强劳动者职业技能培训，提高人力资源配置效率，在落户、医疗、住房等方面提供便利化服务。</w:t>
      </w:r>
    </w:p>
    <w:p w14:paraId="66CB5D99">
      <w:pPr>
        <w:widowControl/>
        <w:shd w:val="clear" w:color="auto" w:fill="FFFFFF"/>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加快推进产才深度融合发展，建立健全以创新能力、质量、实效、贡献为导向的人才评价体系，完善人才综合服务保障机制，为各类人才提供资格认定、待遇落实、创业服务、生活优享等一站式服务。</w:t>
      </w:r>
    </w:p>
    <w:p w14:paraId="530272E5">
      <w:pPr>
        <w:widowControl/>
        <w:shd w:val="clear" w:color="auto" w:fill="FFFFFF"/>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支持经营主体引进战略性、顶尖性、原创性人才；鼓励经营主体定向培养、自主培育、联合培养急需紧缺创新人才；支持经营主体自主开展技能人才评价，赋予经营主体更多人才举荐权和认定权。</w:t>
      </w:r>
    </w:p>
    <w:p w14:paraId="17365876">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w:t>
      </w:r>
      <w:r>
        <w:rPr>
          <w:rFonts w:hint="eastAsia" w:ascii="Times New Roman" w:hAnsi="Times New Roman" w:eastAsia="仿宋_GB2312" w:cs="Times New Roman"/>
          <w:b/>
          <w:sz w:val="32"/>
          <w:szCs w:val="32"/>
        </w:rPr>
        <w:t>十二</w:t>
      </w:r>
      <w:r>
        <w:rPr>
          <w:rFonts w:ascii="Times New Roman" w:hAnsi="Times New Roman" w:eastAsia="仿宋_GB2312" w:cs="Times New Roman"/>
          <w:b/>
          <w:sz w:val="32"/>
          <w:szCs w:val="32"/>
        </w:rPr>
        <w:t>条 </w:t>
      </w:r>
      <w:r>
        <w:rPr>
          <w:rFonts w:hint="eastAsia" w:ascii="Times New Roman" w:hAnsi="Times New Roman" w:eastAsia="仿宋_GB2312" w:cs="Times New Roman"/>
          <w:sz w:val="32"/>
          <w:szCs w:val="32"/>
        </w:rPr>
        <w:t>依法加强知识产权保护，建立健全知识产权保护、转化和服务运用体系和知识产权快速协同保护机制，促进知识产权行政保护与司法保护有效衔接，依法实行知识产权侵权惩罚性赔偿制度。</w:t>
      </w:r>
    </w:p>
    <w:p w14:paraId="61267B7C">
      <w:pPr>
        <w:widowControl/>
        <w:shd w:val="clear" w:color="auto" w:fill="FFFFFF"/>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引导企业加强与高等学校、科研院所开展知识产权转化运用合作，促进知识产权成果转化。</w:t>
      </w:r>
    </w:p>
    <w:p w14:paraId="3D2D0B0A">
      <w:pPr>
        <w:widowControl/>
        <w:shd w:val="clear" w:color="auto" w:fill="FFFFFF"/>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支持建立健全知识产权公共服务机构，围绕重点产业开展预警分析、专利导航、维权援助、信息咨询等知识产权服务。</w:t>
      </w:r>
    </w:p>
    <w:p w14:paraId="5DDBC9BA">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w:t>
      </w:r>
      <w:r>
        <w:rPr>
          <w:rFonts w:hint="eastAsia" w:ascii="Times New Roman" w:hAnsi="Times New Roman" w:eastAsia="仿宋_GB2312" w:cs="Times New Roman"/>
          <w:b/>
          <w:sz w:val="32"/>
          <w:szCs w:val="32"/>
        </w:rPr>
        <w:t>十三</w:t>
      </w:r>
      <w:r>
        <w:rPr>
          <w:rFonts w:ascii="Times New Roman" w:hAnsi="Times New Roman" w:eastAsia="仿宋_GB2312" w:cs="Times New Roman"/>
          <w:b/>
          <w:sz w:val="32"/>
          <w:szCs w:val="32"/>
        </w:rPr>
        <w:t>条 </w:t>
      </w:r>
      <w:r>
        <w:rPr>
          <w:rFonts w:hint="eastAsia" w:ascii="Times New Roman" w:hAnsi="Times New Roman" w:eastAsia="仿宋_GB2312" w:cs="Times New Roman"/>
          <w:sz w:val="32"/>
          <w:szCs w:val="32"/>
        </w:rPr>
        <w:t>对经营主体采取限产、停产等措施的，应当严格依照相关法律、法规实施，并根据具体情况采取相应举措，最大限度减少对经营主体生产经营活动的影响。</w:t>
      </w:r>
    </w:p>
    <w:p w14:paraId="3F970CEB">
      <w:pPr>
        <w:widowControl/>
        <w:shd w:val="clear" w:color="auto" w:fill="FFFFFF"/>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建立健全突发事件</w:t>
      </w:r>
      <w:bookmarkStart w:id="6" w:name="OLE_LINK30"/>
      <w:bookmarkStart w:id="7" w:name="OLE_LINK31"/>
      <w:r>
        <w:rPr>
          <w:rFonts w:hint="eastAsia" w:ascii="Times New Roman" w:hAnsi="Times New Roman" w:eastAsia="仿宋_GB2312" w:cs="Times New Roman"/>
          <w:sz w:val="32"/>
          <w:szCs w:val="32"/>
        </w:rPr>
        <w:t>助企纾困</w:t>
      </w:r>
      <w:bookmarkEnd w:id="6"/>
      <w:bookmarkEnd w:id="7"/>
      <w:r>
        <w:rPr>
          <w:rFonts w:hint="eastAsia" w:ascii="Times New Roman" w:hAnsi="Times New Roman" w:eastAsia="仿宋_GB2312" w:cs="Times New Roman"/>
          <w:sz w:val="32"/>
          <w:szCs w:val="32"/>
        </w:rPr>
        <w:t>工作机制。对因自然灾害、事故灾难或者公共卫生事件等突发事件造成经营主体普遍性生产经营困难的，</w:t>
      </w:r>
      <w:r>
        <w:rPr>
          <w:rFonts w:ascii="Times New Roman" w:hAnsi="Times New Roman" w:eastAsia="仿宋_GB2312" w:cs="Times New Roman"/>
          <w:sz w:val="32"/>
          <w:szCs w:val="32"/>
        </w:rPr>
        <w:t>经营主体可以自主决定歇业</w:t>
      </w:r>
      <w:r>
        <w:rPr>
          <w:rFonts w:hint="eastAsia" w:ascii="Times New Roman" w:hAnsi="Times New Roman" w:eastAsia="仿宋_GB2312" w:cs="Times New Roman"/>
          <w:sz w:val="32"/>
          <w:szCs w:val="32"/>
        </w:rPr>
        <w:t>，依法依规采取救助、补偿、减免等帮扶措施。</w:t>
      </w:r>
    </w:p>
    <w:p w14:paraId="270963D2">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第十四条 </w:t>
      </w:r>
      <w:r>
        <w:rPr>
          <w:rFonts w:ascii="Times New Roman" w:hAnsi="Times New Roman" w:eastAsia="仿宋_GB2312" w:cs="Times New Roman"/>
          <w:sz w:val="32"/>
          <w:szCs w:val="32"/>
        </w:rPr>
        <w:t>全面落实公平竞争审查制度。推行</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公平竞争审查三员</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工作机制，选聘机关审查员、企业风控员、社会监督员，营造公平竞争审查共治氛围。未经公平竞争不得授予经营者特许经营权。</w:t>
      </w:r>
    </w:p>
    <w:p w14:paraId="512F9C89">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第十五条 </w:t>
      </w:r>
      <w:r>
        <w:rPr>
          <w:rFonts w:ascii="Times New Roman" w:hAnsi="Times New Roman" w:eastAsia="仿宋_GB2312" w:cs="Times New Roman"/>
          <w:sz w:val="32"/>
          <w:szCs w:val="32"/>
        </w:rPr>
        <w:t>支持</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新能源+储能</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及源网荷储一体化项目建设，扩大绿电供给。推动水、气、热大用户合同交易扩容，降低用能大户认定门槛，切实降低生产要素成本。</w:t>
      </w:r>
    </w:p>
    <w:p w14:paraId="4FEB1FFD">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第十</w:t>
      </w:r>
      <w:r>
        <w:rPr>
          <w:rFonts w:hint="eastAsia" w:ascii="Times New Roman" w:hAnsi="Times New Roman" w:eastAsia="仿宋_GB2312" w:cs="Times New Roman"/>
          <w:b/>
          <w:sz w:val="32"/>
          <w:szCs w:val="32"/>
        </w:rPr>
        <w:t>六</w:t>
      </w:r>
      <w:r>
        <w:rPr>
          <w:rFonts w:ascii="Times New Roman" w:hAnsi="Times New Roman" w:eastAsia="仿宋_GB2312" w:cs="Times New Roman"/>
          <w:b/>
          <w:sz w:val="32"/>
          <w:szCs w:val="32"/>
        </w:rPr>
        <w:t>条 </w:t>
      </w:r>
      <w:r>
        <w:rPr>
          <w:rFonts w:ascii="Times New Roman" w:hAnsi="Times New Roman" w:eastAsia="仿宋_GB2312" w:cs="Times New Roman"/>
          <w:sz w:val="32"/>
          <w:szCs w:val="32"/>
        </w:rPr>
        <w:t>建立金融服务民营经济</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双专员</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机制，从协会商会选派金融联络专员，从金融机构选派金融服务专员，打通政银企常态化沟通渠道。完善</w:t>
      </w:r>
      <w:r>
        <w:rPr>
          <w:rFonts w:hint="eastAsia" w:ascii="Times New Roman" w:hAnsi="Times New Roman" w:eastAsia="仿宋_GB2312" w:cs="Times New Roman"/>
          <w:sz w:val="32"/>
          <w:szCs w:val="32"/>
          <w:lang w:eastAsia="zh-CN"/>
        </w:rPr>
        <w:t>线上</w:t>
      </w:r>
      <w:r>
        <w:rPr>
          <w:rFonts w:ascii="Times New Roman" w:hAnsi="Times New Roman" w:eastAsia="仿宋_GB2312" w:cs="Times New Roman"/>
          <w:sz w:val="32"/>
          <w:szCs w:val="32"/>
        </w:rPr>
        <w:t>金融服务功能，提供</w:t>
      </w:r>
      <w:r>
        <w:rPr>
          <w:rFonts w:hint="eastAsia" w:ascii="Times New Roman" w:hAnsi="Times New Roman" w:eastAsia="仿宋_GB2312" w:cs="Times New Roman"/>
          <w:sz w:val="32"/>
          <w:szCs w:val="32"/>
        </w:rPr>
        <w:t>24</w:t>
      </w:r>
      <w:r>
        <w:rPr>
          <w:rFonts w:ascii="Times New Roman" w:hAnsi="Times New Roman" w:eastAsia="仿宋_GB2312" w:cs="Times New Roman"/>
          <w:sz w:val="32"/>
          <w:szCs w:val="32"/>
        </w:rPr>
        <w:t>小时在线融资服务</w:t>
      </w:r>
      <w:r>
        <w:rPr>
          <w:rFonts w:hint="eastAsia" w:ascii="Times New Roman" w:hAnsi="Times New Roman" w:eastAsia="仿宋_GB2312" w:cs="Times New Roman"/>
          <w:sz w:val="32"/>
          <w:szCs w:val="32"/>
        </w:rPr>
        <w:t>。</w:t>
      </w:r>
    </w:p>
    <w:p w14:paraId="1AAC0294">
      <w:pPr>
        <w:widowControl/>
        <w:shd w:val="clear" w:color="auto" w:fill="FFFFFF"/>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开展</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企业创新积分制</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改革，将创新积分作为金融机构授信贷款、风险补偿的重要依据。推广科创企业可转贷业务，加大科创企业支持力度。</w:t>
      </w:r>
    </w:p>
    <w:p w14:paraId="4516048B">
      <w:pPr>
        <w:widowControl/>
        <w:shd w:val="clear" w:color="auto" w:fill="FFFFFF"/>
        <w:ind w:firstLine="643" w:firstLineChars="200"/>
        <w:jc w:val="left"/>
        <w:rPr>
          <w:rFonts w:ascii="Times New Roman" w:hAnsi="Times New Roman" w:eastAsia="仿宋_GB2312" w:cs="Times New Roman"/>
          <w:sz w:val="32"/>
          <w:szCs w:val="32"/>
        </w:rPr>
      </w:pPr>
      <w:bookmarkStart w:id="8" w:name="OLE_LINK37"/>
      <w:bookmarkStart w:id="9" w:name="OLE_LINK36"/>
      <w:r>
        <w:rPr>
          <w:rFonts w:ascii="Times New Roman" w:hAnsi="Times New Roman" w:eastAsia="仿宋_GB2312" w:cs="Times New Roman"/>
          <w:b/>
          <w:sz w:val="32"/>
          <w:szCs w:val="32"/>
        </w:rPr>
        <w:t>第十</w:t>
      </w:r>
      <w:r>
        <w:rPr>
          <w:rFonts w:hint="eastAsia" w:ascii="Times New Roman" w:hAnsi="Times New Roman" w:eastAsia="仿宋_GB2312" w:cs="Times New Roman"/>
          <w:b/>
          <w:sz w:val="32"/>
          <w:szCs w:val="32"/>
        </w:rPr>
        <w:t>七</w:t>
      </w:r>
      <w:r>
        <w:rPr>
          <w:rFonts w:ascii="Times New Roman" w:hAnsi="Times New Roman" w:eastAsia="仿宋_GB2312" w:cs="Times New Roman"/>
          <w:b/>
          <w:sz w:val="32"/>
          <w:szCs w:val="32"/>
        </w:rPr>
        <w:t>条 </w:t>
      </w:r>
      <w:bookmarkEnd w:id="8"/>
      <w:bookmarkEnd w:id="9"/>
      <w:r>
        <w:rPr>
          <w:rFonts w:hint="eastAsia" w:ascii="Times New Roman" w:hAnsi="Times New Roman" w:eastAsia="仿宋_GB2312" w:cs="Times New Roman"/>
          <w:sz w:val="32"/>
          <w:szCs w:val="32"/>
        </w:rPr>
        <w:t>严格落实国家减税降费政策和省、市减轻经营主体负担的措施，做好政策宣传辅导，及时研究解决政策落实中的具体问题。</w:t>
      </w:r>
    </w:p>
    <w:p w14:paraId="4B23F238">
      <w:pPr>
        <w:widowControl/>
        <w:shd w:val="clear" w:color="auto" w:fill="FFFFFF"/>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坚持工业企业、小微企业立项阶段行政事业性市权范围内</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零收费</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制度。行政管理类设备系统或产品配置，实行</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谁主张、谁付费</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的部门付费制度。</w:t>
      </w:r>
    </w:p>
    <w:p w14:paraId="58668425">
      <w:pPr>
        <w:widowControl/>
        <w:shd w:val="clear" w:color="auto" w:fill="FFFFFF"/>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对依法设立的行政事业性收费、政府性基金、政府定价的经营服务性收费和涉企保证金，实行目录清单动态管理，收费单位应当实时公布。目录清单之外的，一律不得收取。</w:t>
      </w:r>
    </w:p>
    <w:p w14:paraId="3162BAED">
      <w:pPr>
        <w:widowControl/>
        <w:shd w:val="clear" w:color="auto" w:fill="FFFFFF"/>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对于信用记录良好的经营主体，鼓励招标人给予减免或者分期缴纳投标保证金的优惠待遇。推广以</w:t>
      </w:r>
      <w:r>
        <w:rPr>
          <w:rFonts w:hint="eastAsia" w:ascii="Times New Roman" w:hAnsi="Times New Roman" w:eastAsia="仿宋_GB2312" w:cs="Times New Roman"/>
          <w:kern w:val="0"/>
          <w:sz w:val="32"/>
          <w:szCs w:val="32"/>
        </w:rPr>
        <w:t>保函、保险、信用承诺方式</w:t>
      </w:r>
      <w:r>
        <w:rPr>
          <w:rFonts w:hint="eastAsia" w:ascii="Times New Roman" w:hAnsi="Times New Roman" w:eastAsia="仿宋_GB2312" w:cs="Times New Roman"/>
          <w:sz w:val="32"/>
          <w:szCs w:val="32"/>
        </w:rPr>
        <w:t>等替代现金缴纳涉企保证金，并在相关规范和办事指南中予以明确。</w:t>
      </w:r>
    </w:p>
    <w:p w14:paraId="6E02A953">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第十</w:t>
      </w:r>
      <w:r>
        <w:rPr>
          <w:rFonts w:hint="eastAsia" w:ascii="Times New Roman" w:hAnsi="Times New Roman" w:eastAsia="仿宋_GB2312" w:cs="Times New Roman"/>
          <w:b/>
          <w:sz w:val="32"/>
          <w:szCs w:val="32"/>
        </w:rPr>
        <w:t>八</w:t>
      </w:r>
      <w:r>
        <w:rPr>
          <w:rFonts w:ascii="Times New Roman" w:hAnsi="Times New Roman" w:eastAsia="仿宋_GB2312" w:cs="Times New Roman"/>
          <w:b/>
          <w:sz w:val="32"/>
          <w:szCs w:val="32"/>
        </w:rPr>
        <w:t>条 </w:t>
      </w:r>
      <w:r>
        <w:rPr>
          <w:rFonts w:hint="eastAsia" w:ascii="Times New Roman" w:hAnsi="Times New Roman" w:eastAsia="仿宋_GB2312" w:cs="Times New Roman"/>
          <w:sz w:val="32"/>
          <w:szCs w:val="32"/>
        </w:rPr>
        <w:t>本市营造中小企业健康发展环境，保障中小企业公平参与市场竞争，维护中小企业合法权益，在政府采购、金融支持、科技创新、绿色低碳转型、人才引进等方面制定扶持政策，搭建完善大型企业与中小企业对接合作平台，推进创新链、产业链、资金链、人才链融合，支持中小企业</w:t>
      </w:r>
      <w:r>
        <w:rPr>
          <w:rFonts w:hint="eastAsia" w:ascii="Times New Roman" w:hAnsi="Times New Roman" w:eastAsia="仿宋_GB2312" w:cs="Times New Roman"/>
          <w:color w:val="auto"/>
          <w:sz w:val="32"/>
          <w:szCs w:val="32"/>
        </w:rPr>
        <w:t>创</w:t>
      </w:r>
      <w:r>
        <w:rPr>
          <w:rFonts w:hint="eastAsia" w:ascii="Times New Roman" w:hAnsi="Times New Roman" w:eastAsia="仿宋_GB2312" w:cs="Times New Roman"/>
          <w:sz w:val="32"/>
          <w:szCs w:val="32"/>
        </w:rPr>
        <w:t>新创业和发展。</w:t>
      </w:r>
    </w:p>
    <w:p w14:paraId="0ADAF11A">
      <w:pPr>
        <w:widowControl/>
        <w:shd w:val="clear" w:color="auto" w:fill="FFFFFF"/>
        <w:spacing w:line="480" w:lineRule="exact"/>
        <w:jc w:val="center"/>
        <w:outlineLvl w:val="1"/>
        <w:rPr>
          <w:rFonts w:ascii="Times New Roman" w:hAnsi="Times New Roman" w:eastAsia="黑体" w:cs="Times New Roman"/>
          <w:sz w:val="32"/>
          <w:szCs w:val="32"/>
        </w:rPr>
      </w:pPr>
    </w:p>
    <w:p w14:paraId="5BF8B395">
      <w:pPr>
        <w:widowControl/>
        <w:shd w:val="clear" w:color="auto" w:fill="FFFFFF"/>
        <w:spacing w:line="480" w:lineRule="exact"/>
        <w:jc w:val="center"/>
        <w:outlineLvl w:val="1"/>
        <w:rPr>
          <w:rFonts w:ascii="Times New Roman" w:hAnsi="Times New Roman" w:eastAsia="黑体" w:cs="Times New Roman"/>
          <w:sz w:val="32"/>
          <w:szCs w:val="32"/>
        </w:rPr>
      </w:pPr>
      <w:r>
        <w:rPr>
          <w:rFonts w:ascii="Times New Roman" w:hAnsi="黑体" w:eastAsia="黑体" w:cs="Times New Roman"/>
          <w:sz w:val="32"/>
          <w:szCs w:val="32"/>
        </w:rPr>
        <w:t>第三章</w:t>
      </w:r>
      <w:r>
        <w:rPr>
          <w:rFonts w:ascii="Times New Roman" w:hAnsi="Times New Roman" w:eastAsia="黑体" w:cs="Times New Roman"/>
          <w:sz w:val="32"/>
          <w:szCs w:val="32"/>
        </w:rPr>
        <w:t> </w:t>
      </w:r>
      <w:r>
        <w:rPr>
          <w:rFonts w:ascii="Times New Roman" w:hAnsi="黑体" w:eastAsia="黑体" w:cs="Times New Roman"/>
          <w:sz w:val="32"/>
          <w:szCs w:val="32"/>
        </w:rPr>
        <w:t>政务环境</w:t>
      </w:r>
    </w:p>
    <w:p w14:paraId="6A2912C4">
      <w:pPr>
        <w:widowControl/>
        <w:shd w:val="clear" w:color="auto" w:fill="FFFFFF"/>
        <w:spacing w:line="480" w:lineRule="exact"/>
        <w:jc w:val="center"/>
        <w:outlineLvl w:val="1"/>
        <w:rPr>
          <w:rFonts w:ascii="Times New Roman" w:hAnsi="Times New Roman" w:eastAsia="黑体" w:cs="Times New Roman"/>
          <w:sz w:val="32"/>
          <w:szCs w:val="32"/>
        </w:rPr>
      </w:pPr>
    </w:p>
    <w:p w14:paraId="23428B48">
      <w:pPr>
        <w:pStyle w:val="6"/>
        <w:shd w:val="clear" w:color="auto" w:fill="FFFFFF"/>
        <w:spacing w:before="0" w:beforeAutospacing="0" w:after="0" w:afterAutospacing="0"/>
        <w:ind w:firstLine="480"/>
        <w:rPr>
          <w:rFonts w:ascii="Times New Roman" w:hAnsi="Times New Roman" w:eastAsia="仿宋_GB2312" w:cs="Times New Roman"/>
          <w:kern w:val="2"/>
          <w:sz w:val="32"/>
          <w:szCs w:val="32"/>
        </w:rPr>
      </w:pPr>
      <w:bookmarkStart w:id="10" w:name="OLE_LINK46"/>
      <w:bookmarkStart w:id="11" w:name="OLE_LINK47"/>
      <w:r>
        <w:rPr>
          <w:rFonts w:ascii="Times New Roman" w:hAnsi="Times New Roman" w:eastAsia="仿宋_GB2312" w:cs="Times New Roman"/>
          <w:b/>
          <w:kern w:val="2"/>
          <w:sz w:val="32"/>
          <w:szCs w:val="32"/>
        </w:rPr>
        <w:t>第十</w:t>
      </w:r>
      <w:r>
        <w:rPr>
          <w:rFonts w:hint="eastAsia" w:ascii="Times New Roman" w:hAnsi="Times New Roman" w:eastAsia="仿宋_GB2312" w:cs="Times New Roman"/>
          <w:b/>
          <w:sz w:val="32"/>
          <w:szCs w:val="32"/>
        </w:rPr>
        <w:t>九</w:t>
      </w:r>
      <w:r>
        <w:rPr>
          <w:rFonts w:ascii="Times New Roman" w:hAnsi="Times New Roman" w:eastAsia="仿宋_GB2312" w:cs="Times New Roman"/>
          <w:b/>
          <w:kern w:val="2"/>
          <w:sz w:val="32"/>
          <w:szCs w:val="32"/>
        </w:rPr>
        <w:t>条 </w:t>
      </w:r>
      <w:bookmarkEnd w:id="10"/>
      <w:bookmarkEnd w:id="11"/>
      <w:r>
        <w:rPr>
          <w:rFonts w:hint="eastAsia" w:ascii="Times New Roman" w:hAnsi="Times New Roman" w:eastAsia="仿宋_GB2312" w:cs="Times New Roman"/>
          <w:kern w:val="2"/>
          <w:sz w:val="32"/>
          <w:szCs w:val="32"/>
        </w:rPr>
        <w:t>健全市、县、乡、村四级政务服务体系，推动政务服务向基层延伸，增强服务意识，优化服务举措，创新服务模式，为经营主体提供规范便利高效的政务服务。鼓励在有条件、有需求的银行网点、邮政网点、园区等设置便民服务点。</w:t>
      </w:r>
    </w:p>
    <w:p w14:paraId="5DFFF549">
      <w:pPr>
        <w:pStyle w:val="6"/>
        <w:shd w:val="clear" w:color="auto" w:fill="FFFFFF"/>
        <w:spacing w:before="0" w:beforeAutospacing="0" w:after="0" w:afterAutospacing="0"/>
        <w:ind w:firstLine="480"/>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推进政务服务标准化，简化办事流程、减少申请材料、缩短办理时限、降低办事成本，推进同一事项无差别受理、同标准办理。推进政务服务智慧化，推进人工智能、区块链、云计算、大数据、物联网等新技术在政务服务领域的应用。</w:t>
      </w:r>
    </w:p>
    <w:p w14:paraId="75135E9E">
      <w:pPr>
        <w:pStyle w:val="6"/>
        <w:shd w:val="clear" w:color="auto" w:fill="FFFFFF"/>
        <w:spacing w:before="0" w:beforeAutospacing="0" w:after="0" w:afterAutospacing="0"/>
        <w:ind w:firstLine="640" w:firstLineChars="200"/>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推行“高效办成一件事”，有关部门应当根据经营主体需求，推动跨部门、跨层级、关联性强、办理量大、办理时间相对集中的多个政务服务事项集成办理，一次性告知办理要求，统一受理申请材料。</w:t>
      </w:r>
      <w:r>
        <w:rPr>
          <w:rFonts w:ascii="Times New Roman" w:hAnsi="Times New Roman" w:eastAsia="仿宋_GB2312" w:cs="Times New Roman"/>
          <w:kern w:val="2"/>
          <w:sz w:val="32"/>
          <w:szCs w:val="32"/>
        </w:rPr>
        <w:t>结合</w:t>
      </w:r>
      <w:r>
        <w:rPr>
          <w:rFonts w:hint="eastAsia" w:ascii="Times New Roman" w:hAnsi="Times New Roman" w:eastAsia="仿宋_GB2312" w:cs="Times New Roman"/>
          <w:kern w:val="2"/>
          <w:sz w:val="32"/>
          <w:szCs w:val="32"/>
        </w:rPr>
        <w:t>本市</w:t>
      </w:r>
      <w:r>
        <w:rPr>
          <w:rFonts w:ascii="Times New Roman" w:hAnsi="Times New Roman" w:eastAsia="仿宋_GB2312" w:cs="Times New Roman"/>
          <w:kern w:val="2"/>
          <w:sz w:val="32"/>
          <w:szCs w:val="32"/>
        </w:rPr>
        <w:t>产业特点，</w:t>
      </w:r>
      <w:r>
        <w:rPr>
          <w:rFonts w:hint="eastAsia" w:ascii="Times New Roman" w:hAnsi="Times New Roman" w:eastAsia="仿宋_GB2312" w:cs="Times New Roman"/>
          <w:kern w:val="2"/>
          <w:sz w:val="32"/>
          <w:szCs w:val="32"/>
          <w:lang w:eastAsia="zh-CN"/>
        </w:rPr>
        <w:t>丰富</w:t>
      </w:r>
      <w:r>
        <w:rPr>
          <w:rFonts w:ascii="Times New Roman" w:hAnsi="Times New Roman" w:eastAsia="仿宋_GB2312" w:cs="Times New Roman"/>
          <w:kern w:val="2"/>
          <w:sz w:val="32"/>
          <w:szCs w:val="32"/>
        </w:rPr>
        <w:t>特色</w:t>
      </w:r>
      <w:r>
        <w:rPr>
          <w:rFonts w:hint="eastAsia" w:ascii="Times New Roman" w:hAnsi="Times New Roman" w:eastAsia="仿宋_GB2312" w:cs="Times New Roman"/>
          <w:kern w:val="2"/>
          <w:sz w:val="32"/>
          <w:szCs w:val="32"/>
          <w:lang w:eastAsia="zh-CN"/>
        </w:rPr>
        <w:t>“一件事”</w:t>
      </w:r>
      <w:r>
        <w:rPr>
          <w:rFonts w:ascii="Times New Roman" w:hAnsi="Times New Roman" w:eastAsia="仿宋_GB2312" w:cs="Times New Roman"/>
          <w:kern w:val="2"/>
          <w:sz w:val="32"/>
          <w:szCs w:val="32"/>
        </w:rPr>
        <w:t>服务。</w:t>
      </w:r>
    </w:p>
    <w:p w14:paraId="638800CB">
      <w:pPr>
        <w:pStyle w:val="6"/>
        <w:shd w:val="clear" w:color="auto" w:fill="FFFFFF"/>
        <w:spacing w:before="0" w:beforeAutospacing="0" w:after="0" w:afterAutospacing="0"/>
        <w:ind w:firstLine="643" w:firstLineChars="200"/>
        <w:rPr>
          <w:rFonts w:ascii="Times New Roman" w:hAnsi="Times New Roman" w:eastAsia="仿宋_GB2312" w:cs="Times New Roman"/>
          <w:kern w:val="2"/>
          <w:sz w:val="32"/>
          <w:szCs w:val="32"/>
        </w:rPr>
      </w:pPr>
      <w:r>
        <w:rPr>
          <w:rFonts w:ascii="Times New Roman" w:hAnsi="Times New Roman" w:eastAsia="仿宋_GB2312" w:cs="Times New Roman"/>
          <w:b/>
          <w:kern w:val="2"/>
          <w:sz w:val="32"/>
          <w:szCs w:val="32"/>
        </w:rPr>
        <w:t>第</w:t>
      </w:r>
      <w:r>
        <w:rPr>
          <w:rFonts w:hint="eastAsia" w:ascii="Times New Roman" w:hAnsi="Times New Roman" w:eastAsia="仿宋_GB2312" w:cs="Times New Roman"/>
          <w:b/>
          <w:sz w:val="32"/>
          <w:szCs w:val="32"/>
        </w:rPr>
        <w:t>二十</w:t>
      </w:r>
      <w:r>
        <w:rPr>
          <w:rFonts w:ascii="Times New Roman" w:hAnsi="Times New Roman" w:eastAsia="仿宋_GB2312" w:cs="Times New Roman"/>
          <w:b/>
          <w:kern w:val="2"/>
          <w:sz w:val="32"/>
          <w:szCs w:val="32"/>
        </w:rPr>
        <w:t>条 </w:t>
      </w:r>
      <w:r>
        <w:rPr>
          <w:rFonts w:hint="eastAsia" w:ascii="Times New Roman" w:hAnsi="Times New Roman" w:eastAsia="仿宋_GB2312" w:cs="Times New Roman"/>
          <w:kern w:val="2"/>
          <w:sz w:val="32"/>
          <w:szCs w:val="32"/>
        </w:rPr>
        <w:t>深化政务服务综合窗口改革，推进政务服务事项一窗受理、集成办理。除受场地限制或者涉及国家秘密等情形外，政务服务事项应当全部纳入政务服务中心集中办理。</w:t>
      </w:r>
    </w:p>
    <w:p w14:paraId="18EABDB8">
      <w:pPr>
        <w:pStyle w:val="6"/>
        <w:shd w:val="clear" w:color="auto" w:fill="FFFFFF"/>
        <w:spacing w:before="0" w:beforeAutospacing="0" w:after="0" w:afterAutospacing="0"/>
        <w:ind w:firstLine="640" w:firstLineChars="200"/>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政务服务场所应当设置专门窗口，统一受理、分类处置经营主体和群众办事过程中的疑难问题。</w:t>
      </w:r>
    </w:p>
    <w:p w14:paraId="4F9B3FD6">
      <w:pPr>
        <w:pStyle w:val="6"/>
        <w:shd w:val="clear" w:color="auto" w:fill="FFFFFF"/>
        <w:spacing w:before="0" w:beforeAutospacing="0" w:after="0" w:afterAutospacing="0"/>
        <w:ind w:firstLine="640" w:firstLineChars="200"/>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政务服务场所应当根据需要配备政务服务自助终端机等自助设备，推进在有条件的银行网点、商务楼宇、工业园区等场所设置政务服务自助终端机，方便申请人自助办理。</w:t>
      </w:r>
    </w:p>
    <w:p w14:paraId="3C051344">
      <w:pPr>
        <w:pStyle w:val="6"/>
        <w:shd w:val="clear" w:color="auto" w:fill="FFFFFF"/>
        <w:spacing w:before="0" w:beforeAutospacing="0" w:after="0" w:afterAutospacing="0"/>
        <w:ind w:firstLine="643" w:firstLineChars="200"/>
        <w:rPr>
          <w:rFonts w:ascii="Times New Roman" w:hAnsi="Times New Roman" w:eastAsia="仿宋_GB2312" w:cs="Times New Roman"/>
          <w:kern w:val="2"/>
          <w:sz w:val="32"/>
          <w:szCs w:val="32"/>
        </w:rPr>
      </w:pPr>
      <w:r>
        <w:rPr>
          <w:rFonts w:ascii="Times New Roman" w:hAnsi="Times New Roman" w:eastAsia="仿宋_GB2312" w:cs="Times New Roman"/>
          <w:b/>
          <w:kern w:val="2"/>
          <w:sz w:val="32"/>
          <w:szCs w:val="32"/>
        </w:rPr>
        <w:t>第</w:t>
      </w:r>
      <w:r>
        <w:rPr>
          <w:rFonts w:hint="eastAsia" w:ascii="Times New Roman" w:hAnsi="Times New Roman" w:eastAsia="仿宋_GB2312" w:cs="Times New Roman"/>
          <w:b/>
          <w:sz w:val="32"/>
          <w:szCs w:val="32"/>
        </w:rPr>
        <w:t>二十一</w:t>
      </w:r>
      <w:r>
        <w:rPr>
          <w:rFonts w:ascii="Times New Roman" w:hAnsi="Times New Roman" w:eastAsia="仿宋_GB2312" w:cs="Times New Roman"/>
          <w:b/>
          <w:kern w:val="2"/>
          <w:sz w:val="32"/>
          <w:szCs w:val="32"/>
        </w:rPr>
        <w:t>条 </w:t>
      </w:r>
      <w:r>
        <w:rPr>
          <w:rFonts w:hint="eastAsia" w:ascii="Times New Roman" w:hAnsi="Times New Roman" w:eastAsia="仿宋_GB2312" w:cs="Times New Roman"/>
          <w:kern w:val="2"/>
          <w:sz w:val="32"/>
          <w:szCs w:val="32"/>
        </w:rPr>
        <w:t>政务服务全部事项应当实行清单化管理并向社会公布。数据主管部门应当会同有关部门编制政务服务事项标准化工作流程和办事指南，并建立动态调整机制。办事指南中的办理条件、所需材料不得含有模糊性兜底要求。</w:t>
      </w:r>
    </w:p>
    <w:p w14:paraId="4B767F49">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w:t>
      </w:r>
      <w:r>
        <w:rPr>
          <w:rFonts w:hint="eastAsia" w:ascii="Times New Roman" w:hAnsi="Times New Roman" w:eastAsia="仿宋_GB2312" w:cs="Times New Roman"/>
          <w:b/>
          <w:sz w:val="32"/>
          <w:szCs w:val="32"/>
        </w:rPr>
        <w:t>二十二</w:t>
      </w:r>
      <w:r>
        <w:rPr>
          <w:rFonts w:ascii="Times New Roman" w:hAnsi="Times New Roman" w:eastAsia="仿宋_GB2312" w:cs="Times New Roman"/>
          <w:b/>
          <w:sz w:val="32"/>
          <w:szCs w:val="32"/>
        </w:rPr>
        <w:t>条 </w:t>
      </w:r>
      <w:r>
        <w:rPr>
          <w:rFonts w:hint="eastAsia" w:ascii="Times New Roman" w:hAnsi="Times New Roman" w:eastAsia="仿宋_GB2312" w:cs="Times New Roman"/>
          <w:sz w:val="32"/>
          <w:szCs w:val="32"/>
        </w:rPr>
        <w:t>编制并及时更新公共数据共享开放责任清单和公共数据资源目录，</w:t>
      </w:r>
      <w:r>
        <w:rPr>
          <w:rFonts w:ascii="Times New Roman" w:hAnsi="Times New Roman" w:eastAsia="仿宋_GB2312" w:cs="Times New Roman"/>
          <w:sz w:val="32"/>
          <w:szCs w:val="32"/>
        </w:rPr>
        <w:t>凡是政府部门核发的材料，原则上一律免于提交。</w:t>
      </w:r>
      <w:r>
        <w:rPr>
          <w:rFonts w:hint="eastAsia" w:ascii="Times New Roman" w:hAnsi="Times New Roman" w:eastAsia="仿宋_GB2312" w:cs="Times New Roman"/>
          <w:sz w:val="32"/>
          <w:szCs w:val="32"/>
          <w:lang w:eastAsia="zh-CN"/>
        </w:rPr>
        <w:t>深化</w:t>
      </w:r>
      <w:r>
        <w:rPr>
          <w:rFonts w:ascii="Times New Roman" w:hAnsi="Times New Roman" w:eastAsia="仿宋_GB2312" w:cs="Times New Roman"/>
          <w:sz w:val="32"/>
          <w:szCs w:val="32"/>
        </w:rPr>
        <w:t>政务数据共享协调机制，依托一体化政务服务平台，</w:t>
      </w:r>
      <w:r>
        <w:rPr>
          <w:rFonts w:hint="eastAsia" w:ascii="Times New Roman" w:hAnsi="Times New Roman" w:eastAsia="仿宋_GB2312" w:cs="Times New Roman"/>
          <w:sz w:val="32"/>
          <w:szCs w:val="32"/>
        </w:rPr>
        <w:t>按照责任清单和资源目录的要求，共享开放数据。通过数据共享能够满足履行职责需要的，有关部门不得要求经营主体和社会公众重复填报。</w:t>
      </w:r>
    </w:p>
    <w:p w14:paraId="058AD6AD">
      <w:pPr>
        <w:widowControl/>
        <w:shd w:val="clear" w:color="auto" w:fill="FFFFFF"/>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除法律、法规另有规定外，同级公共管理和服务机构以及上下级机构之间应当共享公共数据，公共数据共享权限和流程按照国家和省有关规定执行。</w:t>
      </w:r>
    </w:p>
    <w:p w14:paraId="07489CE8">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w:t>
      </w:r>
      <w:r>
        <w:rPr>
          <w:rFonts w:hint="eastAsia" w:ascii="Times New Roman" w:hAnsi="Times New Roman" w:eastAsia="仿宋_GB2312" w:cs="Times New Roman"/>
          <w:b/>
          <w:sz w:val="32"/>
          <w:szCs w:val="32"/>
        </w:rPr>
        <w:t>二十</w:t>
      </w:r>
      <w:r>
        <w:rPr>
          <w:rFonts w:ascii="Times New Roman" w:hAnsi="Times New Roman" w:eastAsia="仿宋_GB2312" w:cs="Times New Roman"/>
          <w:b/>
          <w:sz w:val="32"/>
          <w:szCs w:val="32"/>
        </w:rPr>
        <w:t>三条 </w:t>
      </w:r>
      <w:r>
        <w:rPr>
          <w:rFonts w:hint="default" w:ascii="Times New Roman" w:hAnsi="Times New Roman" w:eastAsia="仿宋_GB2312" w:cs="Times New Roman"/>
          <w:b/>
          <w:sz w:val="32"/>
          <w:szCs w:val="32"/>
          <w:lang w:val="en-US"/>
        </w:rPr>
        <w:t xml:space="preserve"> </w:t>
      </w:r>
      <w:r>
        <w:rPr>
          <w:rFonts w:hint="eastAsia" w:ascii="Times New Roman" w:hAnsi="Times New Roman" w:eastAsia="仿宋_GB2312" w:cs="Times New Roman"/>
          <w:sz w:val="32"/>
          <w:szCs w:val="32"/>
        </w:rPr>
        <w:t>推广电子证照、电子印章、电子档案在政务服务中的应用，</w:t>
      </w:r>
      <w:r>
        <w:rPr>
          <w:rFonts w:ascii="Times New Roman" w:hAnsi="Times New Roman" w:eastAsia="仿宋_GB2312" w:cs="Times New Roman"/>
          <w:sz w:val="32"/>
          <w:szCs w:val="32"/>
        </w:rPr>
        <w:t>应用场景拓展至招投标、不动产登记、公积金及医保缴纳等高频领域</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实现跨区域、跨层级、跨行业</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一件事、一键签</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p>
    <w:p w14:paraId="26604400">
      <w:pPr>
        <w:widowControl/>
        <w:shd w:val="clear" w:color="auto" w:fill="FFFFFF"/>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核发的电子证照类材料应当向电子证照库实时全面归集，法律、法规另有规定的除外。</w:t>
      </w:r>
    </w:p>
    <w:p w14:paraId="6E7232BC">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w:t>
      </w:r>
      <w:r>
        <w:rPr>
          <w:rFonts w:hint="eastAsia" w:ascii="Times New Roman" w:hAnsi="Times New Roman" w:eastAsia="仿宋_GB2312" w:cs="Times New Roman"/>
          <w:b/>
          <w:sz w:val="32"/>
          <w:szCs w:val="32"/>
        </w:rPr>
        <w:t>二十四</w:t>
      </w:r>
      <w:r>
        <w:rPr>
          <w:rFonts w:ascii="Times New Roman" w:hAnsi="Times New Roman" w:eastAsia="仿宋_GB2312" w:cs="Times New Roman"/>
          <w:b/>
          <w:sz w:val="32"/>
          <w:szCs w:val="32"/>
        </w:rPr>
        <w:t>条 </w:t>
      </w:r>
      <w:r>
        <w:rPr>
          <w:rFonts w:hint="eastAsia" w:ascii="Times New Roman" w:hAnsi="Times New Roman" w:eastAsia="仿宋_GB2312" w:cs="Times New Roman"/>
          <w:sz w:val="32"/>
          <w:szCs w:val="32"/>
        </w:rPr>
        <w:t>依托一体化政务服务平台建设完善</w:t>
      </w:r>
      <w:bookmarkStart w:id="12" w:name="OLE_LINK56"/>
      <w:r>
        <w:rPr>
          <w:rFonts w:hint="eastAsia" w:ascii="Times New Roman" w:hAnsi="Times New Roman" w:eastAsia="仿宋_GB2312" w:cs="Times New Roman"/>
          <w:sz w:val="32"/>
          <w:szCs w:val="32"/>
        </w:rPr>
        <w:t>“一企来办•宿企通”</w:t>
      </w:r>
      <w:r>
        <w:rPr>
          <w:rFonts w:ascii="Times New Roman" w:hAnsi="Times New Roman" w:eastAsia="仿宋_GB2312" w:cs="Times New Roman"/>
          <w:sz w:val="32"/>
          <w:szCs w:val="32"/>
        </w:rPr>
        <w:t>惠企服务综合平台</w:t>
      </w:r>
      <w:bookmarkEnd w:id="12"/>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整合与企业相关的政策、办事、兑现、金融、知识产权、诉求等服务，为企业提供全生命周期的集成服务。</w:t>
      </w:r>
    </w:p>
    <w:p w14:paraId="78F3FF35">
      <w:pPr>
        <w:widowControl/>
        <w:shd w:val="clear" w:color="auto" w:fill="FFFFFF"/>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在</w:t>
      </w:r>
      <w:r>
        <w:rPr>
          <w:rFonts w:hint="eastAsia" w:ascii="Times New Roman" w:hAnsi="Times New Roman" w:eastAsia="仿宋_GB2312" w:cs="Times New Roman"/>
          <w:kern w:val="0"/>
          <w:sz w:val="32"/>
          <w:szCs w:val="32"/>
        </w:rPr>
        <w:t>惠企服务综合平台</w:t>
      </w:r>
      <w:r>
        <w:rPr>
          <w:rFonts w:hint="eastAsia" w:ascii="Times New Roman" w:hAnsi="Times New Roman" w:eastAsia="仿宋_GB2312" w:cs="Times New Roman"/>
          <w:sz w:val="32"/>
          <w:szCs w:val="32"/>
        </w:rPr>
        <w:t>设置惠企政策专区，集中公布惠企政策，与部门网站实现同源发布、同步更新，并做好政策的精准推送和宣传解读。</w:t>
      </w:r>
    </w:p>
    <w:p w14:paraId="171E57A2">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w:t>
      </w:r>
      <w:r>
        <w:rPr>
          <w:rFonts w:hint="eastAsia" w:ascii="Times New Roman" w:hAnsi="Times New Roman" w:eastAsia="仿宋_GB2312" w:cs="Times New Roman"/>
          <w:b/>
          <w:sz w:val="32"/>
          <w:szCs w:val="32"/>
        </w:rPr>
        <w:t>二十</w:t>
      </w:r>
      <w:r>
        <w:rPr>
          <w:rFonts w:ascii="Times New Roman" w:hAnsi="Times New Roman" w:eastAsia="仿宋_GB2312" w:cs="Times New Roman"/>
          <w:b/>
          <w:sz w:val="32"/>
          <w:szCs w:val="32"/>
        </w:rPr>
        <w:t>五条 </w:t>
      </w:r>
      <w:r>
        <w:rPr>
          <w:rFonts w:ascii="Times New Roman" w:hAnsi="Times New Roman" w:eastAsia="仿宋_GB2312" w:cs="Times New Roman"/>
          <w:sz w:val="32"/>
          <w:szCs w:val="32"/>
        </w:rPr>
        <w:t>深化工程建设项目审批制度改革，</w:t>
      </w:r>
      <w:r>
        <w:rPr>
          <w:rFonts w:hint="eastAsia" w:ascii="Times New Roman" w:hAnsi="Times New Roman" w:eastAsia="仿宋_GB2312" w:cs="Times New Roman"/>
          <w:sz w:val="32"/>
          <w:szCs w:val="32"/>
        </w:rPr>
        <w:t>根据建设工程的规模、类型、位置等因素，依法确定和公布工程建设项目的风险划分标准和等级，制定分类审批和监管制度。</w:t>
      </w:r>
    </w:p>
    <w:p w14:paraId="2869E417">
      <w:pPr>
        <w:widowControl/>
        <w:shd w:val="clear" w:color="auto" w:fill="FFFFFF"/>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推行“云勘验”，以远程视频勘验代替现场勘验，</w:t>
      </w:r>
      <w:r>
        <w:rPr>
          <w:rFonts w:hint="eastAsia" w:ascii="Times New Roman" w:hAnsi="Times New Roman" w:eastAsia="仿宋_GB2312" w:cs="Times New Roman"/>
          <w:sz w:val="32"/>
          <w:szCs w:val="32"/>
        </w:rPr>
        <w:t>实行工程建设领域联合测绘和测绘成果共享使用。对验收过程中涉及不同行政机关要求的测绘内容，实现一次委托、成果共享。</w:t>
      </w:r>
    </w:p>
    <w:p w14:paraId="1A629C5A">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第二十</w:t>
      </w:r>
      <w:r>
        <w:rPr>
          <w:rFonts w:hint="eastAsia" w:ascii="Times New Roman" w:hAnsi="Times New Roman" w:eastAsia="仿宋_GB2312" w:cs="Times New Roman"/>
          <w:b/>
          <w:sz w:val="32"/>
          <w:szCs w:val="32"/>
        </w:rPr>
        <w:t>六</w:t>
      </w:r>
      <w:r>
        <w:rPr>
          <w:rFonts w:ascii="Times New Roman" w:hAnsi="Times New Roman" w:eastAsia="仿宋_GB2312" w:cs="Times New Roman"/>
          <w:b/>
          <w:sz w:val="32"/>
          <w:szCs w:val="32"/>
        </w:rPr>
        <w:t>条 </w:t>
      </w:r>
      <w:r>
        <w:rPr>
          <w:rFonts w:ascii="Times New Roman" w:hAnsi="Times New Roman" w:eastAsia="仿宋_GB2312" w:cs="Times New Roman"/>
          <w:sz w:val="32"/>
          <w:szCs w:val="32"/>
        </w:rPr>
        <w:t>建立行政审批</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绿色通道</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，制定并公布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容缺受理</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告知承诺</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超时即办</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事项清单。对主要申请材料齐全且符合法定条件，次要材料欠缺的，申请人书面承诺后，部门先予受理，允许在竣工验收备案前补齐。</w:t>
      </w:r>
    </w:p>
    <w:p w14:paraId="4C654EA5">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第二十</w:t>
      </w:r>
      <w:r>
        <w:rPr>
          <w:rFonts w:hint="eastAsia" w:ascii="Times New Roman" w:hAnsi="Times New Roman" w:eastAsia="仿宋_GB2312" w:cs="Times New Roman"/>
          <w:b/>
          <w:sz w:val="32"/>
          <w:szCs w:val="32"/>
        </w:rPr>
        <w:t>七</w:t>
      </w:r>
      <w:r>
        <w:rPr>
          <w:rFonts w:ascii="Times New Roman" w:hAnsi="Times New Roman" w:eastAsia="仿宋_GB2312" w:cs="Times New Roman"/>
          <w:b/>
          <w:sz w:val="32"/>
          <w:szCs w:val="32"/>
        </w:rPr>
        <w:t>条 </w:t>
      </w:r>
      <w:r>
        <w:rPr>
          <w:rFonts w:hint="eastAsia" w:ascii="Times New Roman" w:hAnsi="Times New Roman" w:eastAsia="仿宋_GB2312" w:cs="Times New Roman"/>
          <w:sz w:val="32"/>
          <w:szCs w:val="32"/>
        </w:rPr>
        <w:t>加强对政务服务人员数字知识、数字技能的培训和管理，将数字知识、数字技能纳入公务员教育培训内容，提升政务服务人员数字思维、数字技能和数字素养，规范政务服务行为。</w:t>
      </w:r>
    </w:p>
    <w:p w14:paraId="6AB00046">
      <w:pPr>
        <w:widowControl/>
        <w:shd w:val="clear" w:color="auto" w:fill="FFFFFF"/>
        <w:spacing w:line="480" w:lineRule="exact"/>
        <w:jc w:val="center"/>
        <w:outlineLvl w:val="1"/>
        <w:rPr>
          <w:rFonts w:ascii="Times New Roman" w:hAnsi="Times New Roman" w:eastAsia="黑体" w:cs="Times New Roman"/>
          <w:sz w:val="32"/>
          <w:szCs w:val="32"/>
        </w:rPr>
      </w:pPr>
    </w:p>
    <w:p w14:paraId="2281EED2">
      <w:pPr>
        <w:widowControl/>
        <w:shd w:val="clear" w:color="auto" w:fill="FFFFFF"/>
        <w:spacing w:line="480" w:lineRule="exact"/>
        <w:jc w:val="center"/>
        <w:outlineLvl w:val="1"/>
        <w:rPr>
          <w:rFonts w:ascii="Times New Roman" w:hAnsi="Times New Roman" w:eastAsia="黑体" w:cs="Times New Roman"/>
          <w:sz w:val="32"/>
          <w:szCs w:val="32"/>
        </w:rPr>
      </w:pPr>
      <w:r>
        <w:rPr>
          <w:rFonts w:ascii="Times New Roman" w:hAnsi="黑体" w:eastAsia="黑体" w:cs="Times New Roman"/>
          <w:sz w:val="32"/>
          <w:szCs w:val="32"/>
        </w:rPr>
        <w:t>第四章</w:t>
      </w:r>
      <w:r>
        <w:rPr>
          <w:rFonts w:ascii="Times New Roman" w:hAnsi="Times New Roman" w:eastAsia="黑体" w:cs="Times New Roman"/>
          <w:sz w:val="32"/>
          <w:szCs w:val="32"/>
        </w:rPr>
        <w:t> </w:t>
      </w:r>
      <w:r>
        <w:rPr>
          <w:rFonts w:ascii="Times New Roman" w:hAnsi="黑体" w:eastAsia="黑体" w:cs="Times New Roman"/>
          <w:sz w:val="32"/>
          <w:szCs w:val="32"/>
        </w:rPr>
        <w:t>法治环境</w:t>
      </w:r>
    </w:p>
    <w:p w14:paraId="1F99ADA1">
      <w:pPr>
        <w:widowControl/>
        <w:shd w:val="clear" w:color="auto" w:fill="FFFFFF"/>
        <w:spacing w:line="480" w:lineRule="exact"/>
        <w:jc w:val="both"/>
        <w:outlineLvl w:val="1"/>
        <w:rPr>
          <w:rFonts w:ascii="Times New Roman" w:hAnsi="Times New Roman" w:eastAsia="黑体" w:cs="Times New Roman"/>
          <w:sz w:val="32"/>
          <w:szCs w:val="32"/>
        </w:rPr>
      </w:pPr>
    </w:p>
    <w:p w14:paraId="104691CA">
      <w:pPr>
        <w:widowControl/>
        <w:shd w:val="clear" w:color="auto" w:fill="FFFFFF"/>
        <w:spacing w:line="480" w:lineRule="exact"/>
        <w:jc w:val="center"/>
        <w:outlineLvl w:val="1"/>
        <w:rPr>
          <w:rFonts w:ascii="Times New Roman" w:hAnsi="Times New Roman" w:eastAsia="黑体" w:cs="Times New Roman"/>
          <w:sz w:val="32"/>
          <w:szCs w:val="32"/>
        </w:rPr>
      </w:pPr>
    </w:p>
    <w:p w14:paraId="0ADA639B">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第二十八条 </w:t>
      </w:r>
      <w:r>
        <w:rPr>
          <w:rFonts w:hint="eastAsia" w:ascii="Times New Roman" w:hAnsi="Times New Roman" w:eastAsia="仿宋_GB2312" w:cs="Times New Roman"/>
          <w:sz w:val="32"/>
          <w:szCs w:val="32"/>
        </w:rPr>
        <w:t>除直接涉及国家安全、公共安全和人民群众生命健康等行业和领域外，市场监督管理领域的行政检查应当随机抽取检查对象，随机选派执法检查人员，抽查事项以及查处结果应当及时向社会公开。</w:t>
      </w:r>
    </w:p>
    <w:p w14:paraId="6999C468">
      <w:pPr>
        <w:widowControl/>
        <w:shd w:val="clear" w:color="auto" w:fill="FFFFFF"/>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依托全省一体化在线监管平台，</w:t>
      </w:r>
      <w:r>
        <w:rPr>
          <w:rFonts w:hint="eastAsia" w:ascii="Times New Roman" w:hAnsi="Times New Roman" w:eastAsia="仿宋_GB2312" w:cs="Times New Roman"/>
          <w:sz w:val="32"/>
          <w:szCs w:val="32"/>
          <w:lang w:eastAsia="zh-CN"/>
        </w:rPr>
        <w:t>深化</w:t>
      </w:r>
      <w:r>
        <w:rPr>
          <w:rFonts w:ascii="Times New Roman" w:hAnsi="Times New Roman" w:eastAsia="仿宋_GB2312" w:cs="Times New Roman"/>
          <w:sz w:val="32"/>
          <w:szCs w:val="32"/>
        </w:rPr>
        <w:t>运行</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宿懿查</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综合监管系统</w:t>
      </w:r>
      <w:r>
        <w:rPr>
          <w:rFonts w:hint="eastAsia" w:ascii="Times New Roman" w:hAnsi="Times New Roman" w:eastAsia="仿宋_GB2312" w:cs="Times New Roman"/>
          <w:sz w:val="32"/>
          <w:szCs w:val="32"/>
        </w:rPr>
        <w:t>，推动各部门监管业务系统互联互通，加强监管信息归集共享和应用，推行远程监管、移动监管、预警防控等非现场监管。</w:t>
      </w:r>
      <w:r>
        <w:rPr>
          <w:rFonts w:hint="eastAsia" w:ascii="Times New Roman" w:hAnsi="Times New Roman" w:eastAsia="仿宋_GB2312" w:cs="Times New Roman"/>
          <w:kern w:val="0"/>
          <w:sz w:val="32"/>
          <w:szCs w:val="32"/>
        </w:rPr>
        <w:t>综合运用数字技术、人工智能等手段，在生态环境、消防、农业农村、文广旅等领域推行“无感监管”。</w:t>
      </w:r>
    </w:p>
    <w:p w14:paraId="729770E1">
      <w:pPr>
        <w:widowControl/>
        <w:shd w:val="clear" w:color="auto" w:fill="FFFFFF"/>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建立行政检查清单，不在清单内或无法定事由的不得检查。</w:t>
      </w:r>
      <w:r>
        <w:rPr>
          <w:rFonts w:hint="eastAsia" w:ascii="Times New Roman" w:hAnsi="Times New Roman" w:eastAsia="仿宋_GB2312" w:cs="Times New Roman"/>
          <w:sz w:val="32"/>
          <w:szCs w:val="32"/>
        </w:rPr>
        <w:t>除因上级交办、突发事件、案件查处等特殊原因外</w:t>
      </w:r>
      <w:r>
        <w:rPr>
          <w:rFonts w:ascii="Times New Roman" w:hAnsi="Times New Roman" w:eastAsia="仿宋_GB2312" w:cs="Times New Roman"/>
          <w:sz w:val="32"/>
          <w:szCs w:val="32"/>
        </w:rPr>
        <w:t>，每月1日至20日设定为</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企业安静期</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，原则上不得对企业进行各类行政检查</w:t>
      </w:r>
      <w:r>
        <w:rPr>
          <w:rFonts w:hint="eastAsia" w:ascii="Times New Roman" w:hAnsi="Times New Roman" w:eastAsia="仿宋_GB2312" w:cs="Times New Roman"/>
          <w:sz w:val="32"/>
          <w:szCs w:val="32"/>
        </w:rPr>
        <w:t>。</w:t>
      </w:r>
    </w:p>
    <w:p w14:paraId="12F51E36">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第二十</w:t>
      </w:r>
      <w:r>
        <w:rPr>
          <w:rFonts w:hint="eastAsia" w:ascii="Times New Roman" w:hAnsi="Times New Roman" w:eastAsia="仿宋_GB2312" w:cs="Times New Roman"/>
          <w:b/>
          <w:sz w:val="32"/>
          <w:szCs w:val="32"/>
        </w:rPr>
        <w:t>九</w:t>
      </w:r>
      <w:r>
        <w:rPr>
          <w:rFonts w:ascii="Times New Roman" w:hAnsi="Times New Roman" w:eastAsia="仿宋_GB2312" w:cs="Times New Roman"/>
          <w:b/>
          <w:sz w:val="32"/>
          <w:szCs w:val="32"/>
        </w:rPr>
        <w:t>条 </w:t>
      </w:r>
      <w:r>
        <w:rPr>
          <w:rFonts w:hint="eastAsia" w:ascii="Times New Roman" w:hAnsi="Times New Roman" w:eastAsia="仿宋_GB2312" w:cs="Times New Roman"/>
          <w:sz w:val="32"/>
          <w:szCs w:val="32"/>
        </w:rPr>
        <w:t>构建以信用为基础的新型监管机制，建立对</w:t>
      </w:r>
      <w:r>
        <w:rPr>
          <w:rFonts w:hint="eastAsia" w:ascii="Times New Roman" w:hAnsi="Times New Roman" w:eastAsia="仿宋_GB2312" w:cs="Times New Roman"/>
          <w:sz w:val="32"/>
          <w:szCs w:val="32"/>
          <w:lang w:eastAsia="zh-CN"/>
        </w:rPr>
        <w:t>经营</w:t>
      </w:r>
      <w:r>
        <w:rPr>
          <w:rFonts w:hint="eastAsia" w:ascii="Times New Roman" w:hAnsi="Times New Roman" w:eastAsia="仿宋_GB2312" w:cs="Times New Roman"/>
          <w:sz w:val="32"/>
          <w:szCs w:val="32"/>
        </w:rPr>
        <w:t>主体的信用承诺、信用公示、信用评价、信用风险管理等制度，依法开展分级分类精细化管理。对守信主体在同等条件下给予政策支持、优惠便利、降低抽查比例和频次等待遇；对违法失信、风险较高和严重失信的</w:t>
      </w:r>
      <w:r>
        <w:rPr>
          <w:rFonts w:hint="eastAsia" w:ascii="Times New Roman" w:hAnsi="Times New Roman" w:eastAsia="仿宋_GB2312" w:cs="Times New Roman"/>
          <w:sz w:val="32"/>
          <w:szCs w:val="32"/>
          <w:lang w:eastAsia="zh-CN"/>
        </w:rPr>
        <w:t>经营</w:t>
      </w:r>
      <w:r>
        <w:rPr>
          <w:rFonts w:hint="eastAsia" w:ascii="Times New Roman" w:hAnsi="Times New Roman" w:eastAsia="仿宋_GB2312" w:cs="Times New Roman"/>
          <w:sz w:val="32"/>
          <w:szCs w:val="32"/>
        </w:rPr>
        <w:t>主体，依法实行严管和惩戒。</w:t>
      </w:r>
    </w:p>
    <w:p w14:paraId="1146B354">
      <w:pPr>
        <w:widowControl/>
        <w:shd w:val="clear" w:color="auto" w:fill="FFFFFF"/>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实行信用信息异议处理和信用修复制度。对</w:t>
      </w:r>
      <w:r>
        <w:rPr>
          <w:rFonts w:hint="eastAsia" w:ascii="Times New Roman" w:hAnsi="Times New Roman" w:eastAsia="仿宋_GB2312" w:cs="Times New Roman"/>
          <w:sz w:val="32"/>
          <w:szCs w:val="32"/>
          <w:lang w:eastAsia="zh-CN"/>
        </w:rPr>
        <w:t>经营</w:t>
      </w:r>
      <w:r>
        <w:rPr>
          <w:rFonts w:hint="eastAsia" w:ascii="Times New Roman" w:hAnsi="Times New Roman" w:eastAsia="仿宋_GB2312" w:cs="Times New Roman"/>
          <w:sz w:val="32"/>
          <w:szCs w:val="32"/>
        </w:rPr>
        <w:t>主体提出异议的信用信息，有关部门和单位应当及时采取核查、更正、删除、回复等必要处理措施。</w:t>
      </w:r>
      <w:r>
        <w:rPr>
          <w:rFonts w:ascii="Times New Roman" w:hAnsi="Times New Roman" w:eastAsia="仿宋_GB2312" w:cs="Times New Roman"/>
          <w:sz w:val="32"/>
          <w:szCs w:val="32"/>
        </w:rPr>
        <w:t>实行企业信用</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无感修复</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对</w:t>
      </w:r>
      <w:r>
        <w:rPr>
          <w:rFonts w:hint="eastAsia" w:ascii="Times New Roman" w:hAnsi="Times New Roman" w:eastAsia="仿宋_GB2312" w:cs="Times New Roman"/>
          <w:sz w:val="32"/>
          <w:szCs w:val="32"/>
          <w:lang w:eastAsia="zh-CN"/>
        </w:rPr>
        <w:t>经营</w:t>
      </w:r>
      <w:r>
        <w:rPr>
          <w:rFonts w:hint="eastAsia" w:ascii="Times New Roman" w:hAnsi="Times New Roman" w:eastAsia="仿宋_GB2312" w:cs="Times New Roman"/>
          <w:sz w:val="32"/>
          <w:szCs w:val="32"/>
        </w:rPr>
        <w:t>主体提出的信用修复申请，有关部门和单位应当按照统一入口、实名申请、流程管理、修复可溯的信用修复管理规范，推进全流程网上信用修复服务。鼓励</w:t>
      </w:r>
      <w:r>
        <w:rPr>
          <w:rFonts w:hint="eastAsia" w:ascii="Times New Roman" w:hAnsi="Times New Roman" w:eastAsia="仿宋_GB2312" w:cs="Times New Roman"/>
          <w:sz w:val="32"/>
          <w:szCs w:val="32"/>
          <w:lang w:eastAsia="zh-CN"/>
        </w:rPr>
        <w:t>经营</w:t>
      </w:r>
      <w:r>
        <w:rPr>
          <w:rFonts w:hint="eastAsia" w:ascii="Times New Roman" w:hAnsi="Times New Roman" w:eastAsia="仿宋_GB2312" w:cs="Times New Roman"/>
          <w:sz w:val="32"/>
          <w:szCs w:val="32"/>
        </w:rPr>
        <w:t>主体通过主动履行义务、纠正失信行为、消除不利影响等方式，修复自身信用。</w:t>
      </w:r>
    </w:p>
    <w:p w14:paraId="302A7867">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第三十条 </w:t>
      </w:r>
      <w:r>
        <w:rPr>
          <w:rFonts w:ascii="Times New Roman" w:hAnsi="Times New Roman" w:eastAsia="仿宋_GB2312" w:cs="Times New Roman"/>
          <w:sz w:val="32"/>
          <w:szCs w:val="32"/>
        </w:rPr>
        <w:t>全面推行柔性执法，</w:t>
      </w:r>
      <w:r>
        <w:rPr>
          <w:rFonts w:hint="eastAsia" w:ascii="Times New Roman" w:hAnsi="Times New Roman" w:eastAsia="仿宋_GB2312" w:cs="Times New Roman"/>
          <w:sz w:val="32"/>
          <w:szCs w:val="32"/>
        </w:rPr>
        <w:t>实施行政强制应当遵循合法、适当、教育与强制相结合的原则，对采用非强制性手段能够达到行政管理目的的，不得实施行政强制。确需实施行政强制的，应当限定在所必需的范围内，尽可能减少对</w:t>
      </w:r>
      <w:r>
        <w:rPr>
          <w:rFonts w:hint="eastAsia" w:ascii="Times New Roman" w:hAnsi="Times New Roman" w:eastAsia="仿宋_GB2312" w:cs="Times New Roman"/>
          <w:sz w:val="32"/>
          <w:szCs w:val="32"/>
          <w:lang w:eastAsia="zh-CN"/>
        </w:rPr>
        <w:t>经营</w:t>
      </w:r>
      <w:r>
        <w:rPr>
          <w:rFonts w:hint="eastAsia" w:ascii="Times New Roman" w:hAnsi="Times New Roman" w:eastAsia="仿宋_GB2312" w:cs="Times New Roman"/>
          <w:sz w:val="32"/>
          <w:szCs w:val="32"/>
        </w:rPr>
        <w:t>主体正常生产经营活动的影响。对违法行为情节轻微或者社会危害较小的，可以不实施行政强制。行政执法部门可以依法制定不予实施行政强制的清单。</w:t>
      </w:r>
    </w:p>
    <w:p w14:paraId="0AA75DCF">
      <w:pPr>
        <w:widowControl/>
        <w:shd w:val="clear" w:color="auto" w:fill="FFFFFF"/>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建立健全涉企行政执法案件经济影响评估机制，最大程度降低对企业生产经营的负面影响。</w:t>
      </w:r>
    </w:p>
    <w:p w14:paraId="1CDBAE1A">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第三十一条 </w:t>
      </w:r>
      <w:r>
        <w:rPr>
          <w:rFonts w:ascii="Times New Roman" w:hAnsi="Times New Roman" w:eastAsia="仿宋_GB2312" w:cs="Times New Roman"/>
          <w:sz w:val="32"/>
          <w:szCs w:val="32"/>
        </w:rPr>
        <w:t>制定并公布不予处罚、减轻处罚、从轻处罚</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三张清单</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公安机关、人民检察院和人民法院在办理涉企案件时，应当严格区分经济犯罪与经济纠纷；对涉案企业投资者、经营管理者、技术骨干等关键人员依法慎用限制人身自由强制措施；对涉案企业财物依法慎用查封、扣押、冻结等措施，最大限度保障</w:t>
      </w:r>
      <w:r>
        <w:rPr>
          <w:rFonts w:hint="eastAsia" w:ascii="Times New Roman" w:hAnsi="Times New Roman" w:eastAsia="仿宋_GB2312" w:cs="Times New Roman"/>
          <w:sz w:val="32"/>
          <w:szCs w:val="32"/>
          <w:lang w:eastAsia="zh-CN"/>
        </w:rPr>
        <w:t>经营</w:t>
      </w:r>
      <w:r>
        <w:rPr>
          <w:rFonts w:hint="eastAsia" w:ascii="Times New Roman" w:hAnsi="Times New Roman" w:eastAsia="仿宋_GB2312" w:cs="Times New Roman"/>
          <w:sz w:val="32"/>
          <w:szCs w:val="32"/>
        </w:rPr>
        <w:t>主体开展正常生产经营活动。</w:t>
      </w:r>
    </w:p>
    <w:p w14:paraId="018E42DA">
      <w:pPr>
        <w:widowControl/>
        <w:shd w:val="clear" w:color="auto" w:fill="FFFFFF"/>
        <w:ind w:firstLine="643" w:firstLineChars="200"/>
        <w:jc w:val="left"/>
        <w:rPr>
          <w:rFonts w:ascii="Times New Roman" w:hAnsi="Times New Roman" w:eastAsia="仿宋_GB2312" w:cs="Times New Roman"/>
          <w:sz w:val="32"/>
          <w:szCs w:val="32"/>
        </w:rPr>
      </w:pPr>
      <w:bookmarkStart w:id="13" w:name="OLE_LINK4"/>
      <w:bookmarkStart w:id="14" w:name="OLE_LINK5"/>
      <w:r>
        <w:rPr>
          <w:rFonts w:ascii="Times New Roman" w:hAnsi="Times New Roman" w:eastAsia="仿宋_GB2312" w:cs="Times New Roman"/>
          <w:b/>
          <w:sz w:val="32"/>
          <w:szCs w:val="32"/>
        </w:rPr>
        <w:t>第三十</w:t>
      </w:r>
      <w:r>
        <w:rPr>
          <w:rFonts w:hint="eastAsia" w:ascii="Times New Roman" w:hAnsi="Times New Roman" w:eastAsia="仿宋_GB2312" w:cs="Times New Roman"/>
          <w:b/>
          <w:sz w:val="32"/>
          <w:szCs w:val="32"/>
        </w:rPr>
        <w:t>二</w:t>
      </w:r>
      <w:r>
        <w:rPr>
          <w:rFonts w:ascii="Times New Roman" w:hAnsi="Times New Roman" w:eastAsia="仿宋_GB2312" w:cs="Times New Roman"/>
          <w:b/>
          <w:sz w:val="32"/>
          <w:szCs w:val="32"/>
        </w:rPr>
        <w:t>条 </w:t>
      </w:r>
      <w:bookmarkEnd w:id="13"/>
      <w:bookmarkEnd w:id="14"/>
      <w:r>
        <w:rPr>
          <w:rFonts w:hint="eastAsia" w:ascii="Times New Roman" w:hAnsi="Times New Roman" w:eastAsia="仿宋_GB2312" w:cs="Times New Roman"/>
          <w:sz w:val="32"/>
          <w:szCs w:val="32"/>
        </w:rPr>
        <w:t>依法保护经营主体及其经营者人身权利、财产权利以及经营自主权等合法权益。任何单位和个人不得实施下列行为：</w:t>
      </w:r>
    </w:p>
    <w:p w14:paraId="6922A8FE">
      <w:pPr>
        <w:widowControl/>
        <w:shd w:val="clear" w:color="auto" w:fill="FFFFFF"/>
        <w:ind w:firstLine="640" w:firstLineChars="200"/>
        <w:jc w:val="left"/>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（一）干预应当由经营主体依法自主决策的定价、内部治理、经营模式等事项；</w:t>
      </w:r>
    </w:p>
    <w:p w14:paraId="43880846">
      <w:pPr>
        <w:widowControl/>
        <w:shd w:val="clear" w:color="auto" w:fill="FFFFFF"/>
        <w:ind w:firstLine="640" w:firstLineChars="200"/>
        <w:jc w:val="left"/>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（二）非法向经营主体实施任何形式的收费和摊派行为；</w:t>
      </w:r>
    </w:p>
    <w:p w14:paraId="320F4479">
      <w:pPr>
        <w:widowControl/>
        <w:shd w:val="clear" w:color="auto" w:fill="FFFFFF"/>
        <w:ind w:firstLine="640" w:firstLineChars="200"/>
        <w:jc w:val="left"/>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（三）非法实施行政强制措施或者侵犯经营主体及其经营者合法权益的其他行为；</w:t>
      </w:r>
    </w:p>
    <w:p w14:paraId="63E0F4C0">
      <w:pPr>
        <w:widowControl/>
        <w:shd w:val="clear" w:color="auto" w:fill="FFFFFF"/>
        <w:ind w:firstLine="640" w:firstLineChars="200"/>
        <w:jc w:val="left"/>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（四）捏造或者歪曲事实，造谣诽谤，损害经营主体的名誉；</w:t>
      </w:r>
    </w:p>
    <w:p w14:paraId="2F29BF73">
      <w:pPr>
        <w:widowControl/>
        <w:shd w:val="clear" w:color="auto" w:fill="FFFFFF"/>
        <w:ind w:firstLine="640" w:firstLineChars="200"/>
        <w:jc w:val="left"/>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（五）法律、法规禁止的其他行为。</w:t>
      </w:r>
    </w:p>
    <w:p w14:paraId="55E223F0">
      <w:pPr>
        <w:widowControl/>
        <w:shd w:val="clear" w:color="auto" w:fill="FFFFFF"/>
        <w:ind w:firstLine="643" w:firstLineChars="200"/>
        <w:jc w:val="left"/>
        <w:rPr>
          <w:rFonts w:ascii="Times New Roman" w:hAnsi="Times New Roman" w:eastAsia="仿宋_GB2312" w:cs="Times New Roman"/>
          <w:sz w:val="32"/>
          <w:szCs w:val="32"/>
        </w:rPr>
      </w:pPr>
      <w:bookmarkStart w:id="15" w:name="OLE_LINK6"/>
      <w:r>
        <w:rPr>
          <w:rFonts w:ascii="Times New Roman" w:hAnsi="Times New Roman" w:eastAsia="仿宋_GB2312" w:cs="Times New Roman"/>
          <w:b/>
          <w:sz w:val="32"/>
          <w:szCs w:val="32"/>
        </w:rPr>
        <w:t>第三十</w:t>
      </w:r>
      <w:r>
        <w:rPr>
          <w:rFonts w:hint="eastAsia" w:ascii="Times New Roman" w:hAnsi="Times New Roman" w:eastAsia="仿宋_GB2312" w:cs="Times New Roman"/>
          <w:b/>
          <w:sz w:val="32"/>
          <w:szCs w:val="32"/>
        </w:rPr>
        <w:t>三</w:t>
      </w:r>
      <w:r>
        <w:rPr>
          <w:rFonts w:ascii="Times New Roman" w:hAnsi="Times New Roman" w:eastAsia="仿宋_GB2312" w:cs="Times New Roman"/>
          <w:b/>
          <w:sz w:val="32"/>
          <w:szCs w:val="32"/>
        </w:rPr>
        <w:t>条 </w:t>
      </w:r>
      <w:bookmarkEnd w:id="15"/>
      <w:r>
        <w:rPr>
          <w:rFonts w:hint="eastAsia" w:ascii="Times New Roman" w:hAnsi="Times New Roman" w:eastAsia="仿宋_GB2312" w:cs="Times New Roman"/>
          <w:sz w:val="32"/>
          <w:szCs w:val="32"/>
        </w:rPr>
        <w:t>加强公共法律服务体系建设，为经营主体提供专业化、高水平的公共法律服务，加快构建覆盖城乡、普惠均等、高效精准的现代公共法律服务体系。</w:t>
      </w:r>
    </w:p>
    <w:p w14:paraId="42DD6593">
      <w:pPr>
        <w:widowControl/>
        <w:shd w:val="clear" w:color="auto" w:fill="FFFFFF"/>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司法行政部门应当整合律师服务、公证、司法鉴定、调解、仲裁、法律援助等法律服务资源，依托公共法律服务中心、法律服务产业园等载体，向经营主体提供优质、高效和便捷的法律服务。</w:t>
      </w:r>
    </w:p>
    <w:p w14:paraId="0E4CB4D7">
      <w:pPr>
        <w:widowControl/>
        <w:shd w:val="clear" w:color="auto" w:fill="FFFFFF"/>
        <w:ind w:firstLine="643" w:firstLineChars="200"/>
        <w:jc w:val="left"/>
        <w:rPr>
          <w:rFonts w:ascii="Times New Roman" w:hAnsi="Times New Roman" w:eastAsia="仿宋_GB2312" w:cs="Times New Roman"/>
          <w:sz w:val="32"/>
          <w:szCs w:val="32"/>
        </w:rPr>
      </w:pPr>
      <w:bookmarkStart w:id="16" w:name="OLE_LINK8"/>
      <w:bookmarkStart w:id="17" w:name="OLE_LINK7"/>
      <w:r>
        <w:rPr>
          <w:rFonts w:hint="eastAsia" w:ascii="Times New Roman" w:hAnsi="Times New Roman" w:eastAsia="仿宋_GB2312" w:cs="Times New Roman"/>
          <w:b/>
          <w:kern w:val="0"/>
          <w:sz w:val="32"/>
          <w:szCs w:val="32"/>
        </w:rPr>
        <w:t>第三十四条</w:t>
      </w:r>
      <w:r>
        <w:rPr>
          <w:rFonts w:ascii="Times New Roman" w:hAnsi="Times New Roman" w:eastAsia="仿宋_GB2312" w:cs="Times New Roman"/>
          <w:b/>
          <w:kern w:val="0"/>
          <w:sz w:val="32"/>
          <w:szCs w:val="32"/>
        </w:rPr>
        <w:t> </w:t>
      </w:r>
      <w:bookmarkEnd w:id="16"/>
      <w:bookmarkEnd w:id="17"/>
      <w:r>
        <w:rPr>
          <w:rFonts w:hint="eastAsia" w:ascii="Times New Roman" w:hAnsi="Times New Roman" w:eastAsia="仿宋_GB2312" w:cs="Times New Roman"/>
          <w:sz w:val="32"/>
          <w:szCs w:val="32"/>
        </w:rPr>
        <w:t>行政机关、司法机关和仲裁机构应当加强商事纠纷解决能力建设，完善调解、仲裁、行政裁决、行政复议、诉讼等相互协调的多元纠纷解决机制，建设非诉讼纠纷解决综合平台和诉调对接、访调对接、诉裁衔接平台，畅通纠纷解决渠道。</w:t>
      </w:r>
    </w:p>
    <w:p w14:paraId="5F2FC282">
      <w:pPr>
        <w:widowControl/>
        <w:shd w:val="clear" w:color="auto" w:fill="FFFFFF"/>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引导行业协会商会建设人民调解组织</w:t>
      </w:r>
      <w:r>
        <w:rPr>
          <w:rFonts w:ascii="Times New Roman" w:hAnsi="Times New Roman" w:eastAsia="仿宋_GB2312" w:cs="Times New Roman"/>
          <w:sz w:val="32"/>
          <w:szCs w:val="32"/>
        </w:rPr>
        <w:t>进驻市、县两级社会治理服务中心，</w:t>
      </w:r>
      <w:r>
        <w:rPr>
          <w:rFonts w:hint="eastAsia" w:ascii="Times New Roman" w:hAnsi="Times New Roman" w:eastAsia="仿宋_GB2312" w:cs="Times New Roman"/>
          <w:sz w:val="32"/>
          <w:szCs w:val="32"/>
        </w:rPr>
        <w:t>推动纠纷以非诉讼方式化解。</w:t>
      </w:r>
      <w:r>
        <w:rPr>
          <w:rFonts w:hint="eastAsia" w:ascii="Times New Roman" w:hAnsi="Times New Roman" w:eastAsia="仿宋_GB2312" w:cs="Times New Roman"/>
          <w:sz w:val="32"/>
          <w:szCs w:val="32"/>
          <w:lang w:eastAsia="zh-CN"/>
        </w:rPr>
        <w:t>依托</w:t>
      </w:r>
      <w:r>
        <w:rPr>
          <w:rFonts w:ascii="Times New Roman" w:hAnsi="Times New Roman" w:eastAsia="仿宋_GB2312" w:cs="Times New Roman"/>
          <w:sz w:val="32"/>
          <w:szCs w:val="32"/>
        </w:rPr>
        <w:t>电商产业仲裁中心，发挥仲裁在电子商务、物流等领域的解纷功能。</w:t>
      </w:r>
    </w:p>
    <w:p w14:paraId="3947EA5C">
      <w:pPr>
        <w:widowControl/>
        <w:shd w:val="clear" w:color="auto" w:fill="FFFFFF"/>
        <w:ind w:firstLine="643"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b/>
          <w:kern w:val="0"/>
          <w:sz w:val="32"/>
          <w:szCs w:val="32"/>
        </w:rPr>
        <w:t>第三十五条</w:t>
      </w:r>
      <w:r>
        <w:rPr>
          <w:rFonts w:ascii="Times New Roman" w:hAnsi="Times New Roman" w:eastAsia="仿宋_GB2312" w:cs="Times New Roman"/>
          <w:b/>
          <w:kern w:val="0"/>
          <w:sz w:val="32"/>
          <w:szCs w:val="32"/>
        </w:rPr>
        <w:t> </w:t>
      </w:r>
      <w:r>
        <w:rPr>
          <w:rFonts w:hint="eastAsia" w:ascii="Times New Roman" w:hAnsi="Times New Roman" w:eastAsia="仿宋_GB2312" w:cs="Times New Roman"/>
          <w:sz w:val="32"/>
          <w:szCs w:val="32"/>
        </w:rPr>
        <w:t>人民法院应当加强一站式诉讼服务中心建设，完善综合诉讼服务平台，提高民商事案件诉讼指引、审判事务、诉讼监督等诉讼服务网上办理水平。</w:t>
      </w:r>
    </w:p>
    <w:p w14:paraId="051F167E">
      <w:pPr>
        <w:widowControl/>
        <w:shd w:val="clear" w:color="auto" w:fill="FFFFFF"/>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严格执行立案登记制，对符合条件的网上立案申请及时予以审核立案。对于依法应当予以公开的司法流程信息，提供网上查询服务，保障当事人知情权。</w:t>
      </w:r>
      <w:r>
        <w:rPr>
          <w:rFonts w:ascii="Times New Roman" w:hAnsi="Times New Roman" w:eastAsia="仿宋_GB2312" w:cs="Times New Roman"/>
          <w:sz w:val="32"/>
          <w:szCs w:val="32"/>
        </w:rPr>
        <w:t>制定涉企财产保全工作指引，对信用等级符合要求的企业申请诉讼保全，可以免予担保</w:t>
      </w:r>
      <w:r>
        <w:rPr>
          <w:rFonts w:hint="eastAsia" w:ascii="Times New Roman" w:hAnsi="Times New Roman" w:eastAsia="仿宋_GB2312" w:cs="Times New Roman"/>
          <w:sz w:val="32"/>
          <w:szCs w:val="32"/>
        </w:rPr>
        <w:t>。</w:t>
      </w:r>
    </w:p>
    <w:p w14:paraId="311FC46A">
      <w:pPr>
        <w:widowControl/>
        <w:shd w:val="clear" w:color="auto" w:fill="FFFFFF"/>
        <w:spacing w:line="480" w:lineRule="exact"/>
        <w:jc w:val="center"/>
        <w:outlineLvl w:val="1"/>
        <w:rPr>
          <w:rFonts w:ascii="Times New Roman" w:hAnsi="Times New Roman" w:eastAsia="黑体" w:cs="Times New Roman"/>
          <w:sz w:val="32"/>
          <w:szCs w:val="32"/>
        </w:rPr>
      </w:pPr>
    </w:p>
    <w:p w14:paraId="579CF2CC">
      <w:pPr>
        <w:widowControl/>
        <w:shd w:val="clear" w:color="auto" w:fill="FFFFFF"/>
        <w:spacing w:line="480" w:lineRule="exact"/>
        <w:jc w:val="center"/>
        <w:outlineLvl w:val="1"/>
        <w:rPr>
          <w:rFonts w:ascii="Times New Roman" w:hAnsi="Times New Roman" w:eastAsia="黑体" w:cs="Times New Roman"/>
          <w:sz w:val="32"/>
          <w:szCs w:val="32"/>
        </w:rPr>
      </w:pPr>
      <w:r>
        <w:rPr>
          <w:rFonts w:ascii="Times New Roman" w:hAnsi="黑体" w:eastAsia="黑体" w:cs="Times New Roman"/>
          <w:sz w:val="32"/>
          <w:szCs w:val="32"/>
        </w:rPr>
        <w:t>第</w:t>
      </w:r>
      <w:r>
        <w:rPr>
          <w:rFonts w:hint="eastAsia" w:ascii="Times New Roman" w:hAnsi="黑体" w:eastAsia="黑体" w:cs="Times New Roman"/>
          <w:sz w:val="32"/>
          <w:szCs w:val="32"/>
          <w:lang w:eastAsia="zh-CN"/>
        </w:rPr>
        <w:t>五</w:t>
      </w:r>
      <w:r>
        <w:rPr>
          <w:rFonts w:ascii="Times New Roman" w:hAnsi="黑体" w:eastAsia="黑体" w:cs="Times New Roman"/>
          <w:sz w:val="32"/>
          <w:szCs w:val="32"/>
        </w:rPr>
        <w:t>章</w:t>
      </w:r>
      <w:r>
        <w:rPr>
          <w:rFonts w:ascii="Times New Roman" w:hAnsi="Times New Roman" w:eastAsia="黑体" w:cs="Times New Roman"/>
          <w:sz w:val="32"/>
          <w:szCs w:val="32"/>
        </w:rPr>
        <w:t> </w:t>
      </w:r>
      <w:r>
        <w:rPr>
          <w:rFonts w:ascii="Times New Roman" w:hAnsi="黑体" w:eastAsia="黑体" w:cs="Times New Roman"/>
          <w:sz w:val="32"/>
          <w:szCs w:val="32"/>
        </w:rPr>
        <w:t>人文环境</w:t>
      </w:r>
    </w:p>
    <w:p w14:paraId="54B388AB">
      <w:pPr>
        <w:widowControl/>
        <w:shd w:val="clear" w:color="auto" w:fill="FFFFFF"/>
        <w:spacing w:line="480" w:lineRule="exact"/>
        <w:jc w:val="center"/>
        <w:outlineLvl w:val="1"/>
        <w:rPr>
          <w:rFonts w:ascii="Times New Roman" w:hAnsi="Times New Roman" w:eastAsia="黑体" w:cs="Times New Roman"/>
          <w:sz w:val="32"/>
          <w:szCs w:val="32"/>
        </w:rPr>
      </w:pPr>
    </w:p>
    <w:p w14:paraId="38E5AA83">
      <w:pPr>
        <w:widowControl/>
        <w:shd w:val="clear" w:color="auto" w:fill="FFFFFF"/>
        <w:ind w:firstLine="643" w:firstLineChars="200"/>
        <w:jc w:val="left"/>
        <w:rPr>
          <w:rFonts w:hint="eastAsia" w:ascii="Times New Roman" w:hAnsi="Times New Roman" w:eastAsia="仿宋_GB2312" w:cs="Times New Roman"/>
          <w:sz w:val="32"/>
          <w:szCs w:val="32"/>
        </w:rPr>
      </w:pPr>
      <w:r>
        <w:rPr>
          <w:rFonts w:ascii="Times New Roman" w:hAnsi="Times New Roman" w:eastAsia="仿宋_GB2312" w:cs="Times New Roman"/>
          <w:b/>
          <w:sz w:val="32"/>
          <w:szCs w:val="32"/>
        </w:rPr>
        <w:t>第三十</w:t>
      </w:r>
      <w:r>
        <w:rPr>
          <w:rFonts w:hint="eastAsia" w:ascii="Times New Roman" w:hAnsi="Times New Roman" w:eastAsia="仿宋_GB2312" w:cs="Times New Roman"/>
          <w:b/>
          <w:sz w:val="32"/>
          <w:szCs w:val="32"/>
        </w:rPr>
        <w:t>六</w:t>
      </w:r>
      <w:r>
        <w:rPr>
          <w:rFonts w:ascii="Times New Roman" w:hAnsi="Times New Roman" w:eastAsia="仿宋_GB2312" w:cs="Times New Roman"/>
          <w:b/>
          <w:sz w:val="32"/>
          <w:szCs w:val="32"/>
        </w:rPr>
        <w:t>条 </w:t>
      </w:r>
      <w:r>
        <w:rPr>
          <w:rFonts w:ascii="Times New Roman" w:hAnsi="Times New Roman" w:eastAsia="仿宋_GB2312" w:cs="Times New Roman"/>
          <w:sz w:val="32"/>
          <w:szCs w:val="32"/>
        </w:rPr>
        <w:t>构建覆盖企业全生命周期的“全方位、全过程、全周期，零距离、零干扰、零差评”的“宿迁帮办”服务体系。</w:t>
      </w:r>
    </w:p>
    <w:p w14:paraId="0A130820">
      <w:pPr>
        <w:widowControl/>
        <w:shd w:val="clear" w:color="auto" w:fill="FFFFFF"/>
        <w:ind w:firstLine="640" w:firstLineChars="200"/>
        <w:jc w:val="left"/>
        <w:rPr>
          <w:rFonts w:ascii="Times New Roman" w:hAnsi="Times New Roman" w:eastAsia="仿宋_GB2312" w:cs="Times New Roman"/>
          <w:sz w:val="32"/>
          <w:szCs w:val="32"/>
        </w:rPr>
      </w:pPr>
      <w:bookmarkStart w:id="18" w:name="OLE_LINK18"/>
      <w:bookmarkStart w:id="19" w:name="OLE_LINK19"/>
      <w:r>
        <w:rPr>
          <w:rFonts w:ascii="Times New Roman" w:hAnsi="Times New Roman" w:eastAsia="仿宋_GB2312" w:cs="Times New Roman"/>
          <w:sz w:val="32"/>
          <w:szCs w:val="32"/>
        </w:rPr>
        <w:t>建立招商引资</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首席服务员</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制度。建立重点企业挂钩帮办专员制度，实现企业服务联系全覆盖。推行警务专员制度，打造服务企业“云网格”</w:t>
      </w:r>
      <w:r>
        <w:rPr>
          <w:rFonts w:hint="eastAsia" w:ascii="Times New Roman" w:hAnsi="Times New Roman" w:eastAsia="仿宋_GB2312" w:cs="Times New Roman"/>
          <w:sz w:val="32"/>
          <w:szCs w:val="32"/>
        </w:rPr>
        <w:t>。</w:t>
      </w:r>
    </w:p>
    <w:bookmarkEnd w:id="18"/>
    <w:bookmarkEnd w:id="19"/>
    <w:p w14:paraId="7C8373A7">
      <w:pPr>
        <w:widowControl/>
        <w:shd w:val="clear" w:color="auto" w:fill="FFFFFF"/>
        <w:ind w:firstLine="643" w:firstLineChars="200"/>
        <w:jc w:val="left"/>
        <w:rPr>
          <w:rFonts w:hint="eastAsia" w:ascii="Times New Roman" w:hAnsi="Times New Roman" w:eastAsia="仿宋_GB2312" w:cs="Times New Roman"/>
          <w:sz w:val="32"/>
          <w:szCs w:val="32"/>
        </w:rPr>
      </w:pPr>
      <w:r>
        <w:rPr>
          <w:rFonts w:ascii="Times New Roman" w:hAnsi="Times New Roman" w:eastAsia="仿宋_GB2312" w:cs="Times New Roman"/>
          <w:b/>
          <w:sz w:val="32"/>
          <w:szCs w:val="32"/>
        </w:rPr>
        <w:t>第三十</w:t>
      </w:r>
      <w:r>
        <w:rPr>
          <w:rFonts w:hint="eastAsia" w:ascii="Times New Roman" w:hAnsi="Times New Roman" w:eastAsia="仿宋_GB2312" w:cs="Times New Roman"/>
          <w:b/>
          <w:sz w:val="32"/>
          <w:szCs w:val="32"/>
        </w:rPr>
        <w:t>七</w:t>
      </w:r>
      <w:r>
        <w:rPr>
          <w:rFonts w:ascii="Times New Roman" w:hAnsi="Times New Roman" w:eastAsia="仿宋_GB2312" w:cs="Times New Roman"/>
          <w:b/>
          <w:sz w:val="32"/>
          <w:szCs w:val="32"/>
        </w:rPr>
        <w:t>条</w:t>
      </w:r>
      <w:r>
        <w:rPr>
          <w:rFonts w:hint="default" w:ascii="Times New Roman" w:hAnsi="Times New Roman" w:eastAsia="仿宋_GB2312" w:cs="Times New Roman"/>
          <w:b/>
          <w:sz w:val="32"/>
          <w:szCs w:val="32"/>
          <w:lang w:val="en-US"/>
        </w:rPr>
        <w:t xml:space="preserve">  </w:t>
      </w:r>
      <w:r>
        <w:rPr>
          <w:rFonts w:ascii="Times New Roman" w:hAnsi="Times New Roman" w:eastAsia="仿宋_GB2312" w:cs="Times New Roman"/>
          <w:sz w:val="32"/>
          <w:szCs w:val="32"/>
        </w:rPr>
        <w:t>拓展</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宿商服务卡</w:t>
      </w:r>
      <w:r>
        <w:rPr>
          <w:rFonts w:hint="eastAsia" w:ascii="Times New Roman" w:hAnsi="Times New Roman" w:eastAsia="仿宋_GB2312" w:cs="Times New Roman"/>
          <w:sz w:val="32"/>
          <w:szCs w:val="32"/>
        </w:rPr>
        <w:t>”功能，</w:t>
      </w:r>
      <w:r>
        <w:rPr>
          <w:rFonts w:ascii="Times New Roman" w:hAnsi="Times New Roman" w:eastAsia="仿宋_GB2312" w:cs="Times New Roman"/>
          <w:sz w:val="32"/>
          <w:szCs w:val="32"/>
        </w:rPr>
        <w:t>在就医体检、交通出行、景区免门票及公共体育场馆免收费等方面提供优待服务</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增强企业家荣誉感、获得感</w:t>
      </w:r>
      <w:r>
        <w:rPr>
          <w:rFonts w:hint="eastAsia" w:ascii="Times New Roman" w:hAnsi="Times New Roman" w:eastAsia="仿宋_GB2312" w:cs="Times New Roman"/>
          <w:sz w:val="32"/>
          <w:szCs w:val="32"/>
        </w:rPr>
        <w:t>，营造鼓励创新创业和亲商安商的社会氛围。</w:t>
      </w:r>
    </w:p>
    <w:p w14:paraId="7319294E">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第三十</w:t>
      </w:r>
      <w:r>
        <w:rPr>
          <w:rFonts w:hint="eastAsia" w:ascii="Times New Roman" w:hAnsi="Times New Roman" w:eastAsia="仿宋_GB2312" w:cs="Times New Roman"/>
          <w:b/>
          <w:sz w:val="32"/>
          <w:szCs w:val="32"/>
        </w:rPr>
        <w:t>八</w:t>
      </w:r>
      <w:r>
        <w:rPr>
          <w:rFonts w:ascii="Times New Roman" w:hAnsi="Times New Roman" w:eastAsia="仿宋_GB2312" w:cs="Times New Roman"/>
          <w:b/>
          <w:sz w:val="32"/>
          <w:szCs w:val="32"/>
        </w:rPr>
        <w:t>条 </w:t>
      </w:r>
      <w:r>
        <w:rPr>
          <w:rFonts w:hint="eastAsia" w:ascii="Times New Roman" w:hAnsi="Times New Roman" w:eastAsia="仿宋_GB2312" w:cs="Times New Roman"/>
          <w:sz w:val="32"/>
          <w:szCs w:val="32"/>
        </w:rPr>
        <w:t>健全常态化政企沟通机制，完善经营主体参与涉企政策制定协商、听证制度，及时回应经营主体的合理意见和诉求，依法保障经营主体正常开展生产经营活动。</w:t>
      </w:r>
    </w:p>
    <w:p w14:paraId="0F0BB109">
      <w:pPr>
        <w:widowControl/>
        <w:shd w:val="clear" w:color="auto" w:fill="FFFFFF"/>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任何单位和个人可以通过12345政务服务便民热线、政府网站、政务新媒体等渠道，对营商环境方面的问题进行投诉举报。接到投诉举报的部门、单位应当依法及时调查处理，并保护投诉举报人的合法权益。</w:t>
      </w:r>
    </w:p>
    <w:p w14:paraId="6CCD554D">
      <w:pPr>
        <w:widowControl/>
        <w:shd w:val="clear" w:color="auto" w:fill="FFFFFF"/>
        <w:ind w:firstLine="640" w:firstLineChars="200"/>
        <w:jc w:val="left"/>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rPr>
        <w:t>建立健全优化营商环境社会监督员、观察员、体验官等制度。社会监督员、观察员、体验官等对优化营商环境提出的合理意见和建议，有关部门、单位应当研究采纳，对查实的问题及时整改</w:t>
      </w:r>
      <w:r>
        <w:rPr>
          <w:rFonts w:hint="eastAsia" w:ascii="Times New Roman" w:hAnsi="Times New Roman" w:eastAsia="仿宋_GB2312" w:cs="Times New Roman"/>
          <w:sz w:val="32"/>
          <w:szCs w:val="32"/>
          <w:lang w:eastAsia="zh-CN"/>
        </w:rPr>
        <w:t>。</w:t>
      </w:r>
    </w:p>
    <w:p w14:paraId="6CE25C2B">
      <w:pPr>
        <w:widowControl/>
        <w:shd w:val="clear" w:color="auto" w:fill="FFFFFF"/>
        <w:ind w:firstLine="643" w:firstLineChars="200"/>
        <w:jc w:val="left"/>
        <w:rPr>
          <w:rFonts w:ascii="Times New Roman" w:hAnsi="Times New Roman" w:eastAsia="仿宋_GB2312" w:cs="Times New Roman"/>
          <w:sz w:val="32"/>
          <w:szCs w:val="32"/>
        </w:rPr>
      </w:pPr>
      <w:bookmarkStart w:id="20" w:name="OLE_LINK22"/>
      <w:bookmarkStart w:id="21" w:name="OLE_LINK21"/>
      <w:r>
        <w:rPr>
          <w:rFonts w:ascii="Times New Roman" w:hAnsi="Times New Roman" w:eastAsia="仿宋_GB2312" w:cs="Times New Roman"/>
          <w:b/>
          <w:sz w:val="32"/>
          <w:szCs w:val="32"/>
        </w:rPr>
        <w:t>第三十</w:t>
      </w:r>
      <w:r>
        <w:rPr>
          <w:rFonts w:hint="eastAsia" w:ascii="Times New Roman" w:hAnsi="Times New Roman" w:eastAsia="仿宋_GB2312" w:cs="Times New Roman"/>
          <w:b/>
          <w:sz w:val="32"/>
          <w:szCs w:val="32"/>
        </w:rPr>
        <w:t>九</w:t>
      </w:r>
      <w:r>
        <w:rPr>
          <w:rFonts w:ascii="Times New Roman" w:hAnsi="Times New Roman" w:eastAsia="仿宋_GB2312" w:cs="Times New Roman"/>
          <w:b/>
          <w:sz w:val="32"/>
          <w:szCs w:val="32"/>
        </w:rPr>
        <w:t>条 </w:t>
      </w:r>
      <w:bookmarkEnd w:id="20"/>
      <w:bookmarkEnd w:id="21"/>
      <w:r>
        <w:rPr>
          <w:rFonts w:hint="eastAsia" w:ascii="Times New Roman" w:hAnsi="Times New Roman" w:eastAsia="仿宋_GB2312" w:cs="Times New Roman"/>
          <w:sz w:val="32"/>
          <w:szCs w:val="32"/>
        </w:rPr>
        <w:t>任何单位和个人不得利用互联网等传播渠道，以侮辱、诽谤等方式恶意侵害经营主体及其经营者的人格权益。</w:t>
      </w:r>
    </w:p>
    <w:p w14:paraId="04260172">
      <w:pPr>
        <w:widowControl/>
        <w:shd w:val="clear" w:color="auto" w:fill="FFFFFF"/>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网络服务提供者应当按照法律、法规的有关规定，加强网络信息内容管理，建立健全投诉举报机制，及时处置恶意侵害经营主体及其经营者合法权益的违法信息，并向有关主管部门报告。</w:t>
      </w:r>
    </w:p>
    <w:p w14:paraId="348A108B">
      <w:pPr>
        <w:widowControl/>
        <w:shd w:val="clear" w:color="auto" w:fill="FFFFFF"/>
        <w:ind w:firstLine="640" w:firstLineChars="200"/>
        <w:jc w:val="left"/>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网信部门、公安机关应当会同市场监督管理、工业和信息化、文化广电和旅游等部门建立完善营商网络环境协同监管机制，加强营商网络环境的监测和治理，依法及时查处破坏营商网络环境的违法行为。</w:t>
      </w:r>
    </w:p>
    <w:p w14:paraId="7CDE4991">
      <w:pPr>
        <w:widowControl/>
        <w:shd w:val="clear" w:color="auto" w:fill="FFFFFF"/>
        <w:ind w:firstLine="643" w:firstLineChars="200"/>
        <w:jc w:val="left"/>
        <w:rPr>
          <w:rFonts w:hint="eastAsia" w:ascii="Times New Roman" w:hAnsi="Times New Roman" w:eastAsia="仿宋_GB2312" w:cs="Times New Roman"/>
          <w:sz w:val="32"/>
          <w:szCs w:val="32"/>
        </w:rPr>
      </w:pPr>
      <w:r>
        <w:rPr>
          <w:rFonts w:hint="eastAsia" w:ascii="Times New Roman" w:hAnsi="Times New Roman" w:eastAsia="仿宋_GB2312" w:cs="Times New Roman"/>
          <w:b/>
          <w:kern w:val="0"/>
          <w:sz w:val="32"/>
          <w:szCs w:val="32"/>
        </w:rPr>
        <w:t>第四十条</w:t>
      </w:r>
      <w:r>
        <w:rPr>
          <w:rFonts w:ascii="Times New Roman" w:hAnsi="Times New Roman" w:eastAsia="仿宋_GB2312" w:cs="Times New Roman"/>
          <w:b/>
          <w:kern w:val="0"/>
          <w:sz w:val="32"/>
          <w:szCs w:val="32"/>
        </w:rPr>
        <w:t> </w:t>
      </w:r>
      <w:r>
        <w:rPr>
          <w:rFonts w:hint="eastAsia" w:ascii="Times New Roman" w:hAnsi="Times New Roman" w:eastAsia="仿宋_GB2312" w:cs="Times New Roman"/>
          <w:sz w:val="32"/>
          <w:szCs w:val="32"/>
        </w:rPr>
        <w:t>健全优化营商环境工作激励机制，按照国家和省有关规定对做出突出贡献的单位和个人给予表彰、奖励。</w:t>
      </w:r>
    </w:p>
    <w:p w14:paraId="3DA486C1">
      <w:pPr>
        <w:widowControl/>
        <w:shd w:val="clear" w:color="auto" w:fill="FFFFFF"/>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广播、电视、报刊、网络等媒体应当加强对做出突出贡献的经营主体及其经营者、劳动者先进事迹的宣传报道，营造尊重创新创业、爱岗敬业的舆论环境。 </w:t>
      </w:r>
    </w:p>
    <w:p w14:paraId="2640F28C">
      <w:pPr>
        <w:widowControl/>
        <w:shd w:val="clear" w:color="auto" w:fill="FFFFFF"/>
        <w:spacing w:line="480" w:lineRule="exact"/>
        <w:jc w:val="center"/>
        <w:outlineLvl w:val="1"/>
        <w:rPr>
          <w:rFonts w:ascii="Times New Roman" w:hAnsi="Times New Roman" w:eastAsia="黑体" w:cs="Times New Roman"/>
          <w:sz w:val="32"/>
          <w:szCs w:val="32"/>
        </w:rPr>
      </w:pPr>
    </w:p>
    <w:p w14:paraId="6CFD3F87">
      <w:pPr>
        <w:widowControl/>
        <w:shd w:val="clear" w:color="auto" w:fill="FFFFFF"/>
        <w:spacing w:line="480" w:lineRule="exact"/>
        <w:jc w:val="center"/>
        <w:outlineLvl w:val="1"/>
        <w:rPr>
          <w:rFonts w:ascii="Times New Roman" w:hAnsi="Times New Roman" w:eastAsia="黑体" w:cs="Times New Roman"/>
          <w:sz w:val="32"/>
          <w:szCs w:val="32"/>
        </w:rPr>
      </w:pPr>
      <w:r>
        <w:rPr>
          <w:rFonts w:ascii="Times New Roman" w:hAnsi="黑体" w:eastAsia="黑体" w:cs="Times New Roman"/>
          <w:sz w:val="32"/>
          <w:szCs w:val="32"/>
        </w:rPr>
        <w:t>第</w:t>
      </w:r>
      <w:r>
        <w:rPr>
          <w:rFonts w:hint="eastAsia" w:ascii="Times New Roman" w:hAnsi="黑体" w:eastAsia="黑体" w:cs="Times New Roman"/>
          <w:sz w:val="32"/>
          <w:szCs w:val="32"/>
          <w:lang w:eastAsia="zh-CN"/>
        </w:rPr>
        <w:t>六</w:t>
      </w:r>
      <w:r>
        <w:rPr>
          <w:rFonts w:ascii="Times New Roman" w:hAnsi="黑体" w:eastAsia="黑体" w:cs="Times New Roman"/>
          <w:sz w:val="32"/>
          <w:szCs w:val="32"/>
        </w:rPr>
        <w:t>章</w:t>
      </w:r>
      <w:r>
        <w:rPr>
          <w:rFonts w:ascii="Times New Roman" w:hAnsi="Times New Roman" w:eastAsia="黑体" w:cs="Times New Roman"/>
          <w:sz w:val="32"/>
          <w:szCs w:val="32"/>
        </w:rPr>
        <w:t> </w:t>
      </w:r>
      <w:r>
        <w:rPr>
          <w:rFonts w:ascii="Times New Roman" w:hAnsi="黑体" w:eastAsia="黑体" w:cs="Times New Roman"/>
          <w:sz w:val="32"/>
          <w:szCs w:val="32"/>
        </w:rPr>
        <w:t>监督保障</w:t>
      </w:r>
    </w:p>
    <w:p w14:paraId="2EA20B4B">
      <w:pPr>
        <w:widowControl/>
        <w:shd w:val="clear" w:color="auto" w:fill="FFFFFF"/>
        <w:spacing w:line="480" w:lineRule="exact"/>
        <w:ind w:firstLine="643" w:firstLineChars="200"/>
        <w:jc w:val="left"/>
        <w:rPr>
          <w:rFonts w:ascii="Times New Roman" w:hAnsi="Times New Roman" w:eastAsia="仿宋_GB2312" w:cs="Times New Roman"/>
          <w:b/>
          <w:sz w:val="32"/>
          <w:szCs w:val="32"/>
        </w:rPr>
      </w:pPr>
    </w:p>
    <w:p w14:paraId="03A656E1">
      <w:pPr>
        <w:widowControl/>
        <w:shd w:val="clear" w:color="auto" w:fill="FFFFFF"/>
        <w:ind w:firstLine="643" w:firstLineChars="200"/>
        <w:jc w:val="left"/>
        <w:rPr>
          <w:rFonts w:hint="eastAsia" w:ascii="Times New Roman" w:hAnsi="Times New Roman" w:eastAsia="仿宋_GB2312" w:cs="Times New Roman"/>
          <w:sz w:val="32"/>
          <w:szCs w:val="32"/>
        </w:rPr>
      </w:pPr>
      <w:r>
        <w:rPr>
          <w:rFonts w:ascii="Times New Roman" w:hAnsi="Times New Roman" w:eastAsia="仿宋_GB2312" w:cs="Times New Roman"/>
          <w:b/>
          <w:sz w:val="32"/>
          <w:szCs w:val="32"/>
        </w:rPr>
        <w:t>第四十</w:t>
      </w:r>
      <w:r>
        <w:rPr>
          <w:rFonts w:hint="eastAsia" w:ascii="Times New Roman" w:hAnsi="Times New Roman" w:eastAsia="仿宋_GB2312" w:cs="Times New Roman"/>
          <w:b/>
          <w:sz w:val="32"/>
          <w:szCs w:val="32"/>
        </w:rPr>
        <w:t>一</w:t>
      </w:r>
      <w:r>
        <w:rPr>
          <w:rFonts w:ascii="Times New Roman" w:hAnsi="Times New Roman" w:eastAsia="仿宋_GB2312" w:cs="Times New Roman"/>
          <w:b/>
          <w:sz w:val="32"/>
          <w:szCs w:val="32"/>
        </w:rPr>
        <w:t>条 </w:t>
      </w:r>
      <w:bookmarkStart w:id="22" w:name="OLE_LINK26"/>
      <w:bookmarkStart w:id="23" w:name="OLE_LINK27"/>
      <w:r>
        <w:rPr>
          <w:rFonts w:hint="eastAsia" w:ascii="Times New Roman" w:hAnsi="Times New Roman" w:eastAsia="仿宋_GB2312" w:cs="Times New Roman"/>
          <w:kern w:val="0"/>
          <w:sz w:val="32"/>
          <w:szCs w:val="32"/>
        </w:rPr>
        <w:t>市、县（区）</w:t>
      </w:r>
      <w:bookmarkEnd w:id="22"/>
      <w:bookmarkEnd w:id="23"/>
      <w:r>
        <w:rPr>
          <w:rFonts w:hint="eastAsia" w:ascii="Times New Roman" w:hAnsi="Times New Roman" w:eastAsia="仿宋_GB2312" w:cs="Times New Roman"/>
          <w:kern w:val="0"/>
          <w:sz w:val="32"/>
          <w:szCs w:val="32"/>
        </w:rPr>
        <w:t>人民政府</w:t>
      </w:r>
      <w:r>
        <w:rPr>
          <w:rFonts w:ascii="Times New Roman" w:hAnsi="Times New Roman" w:eastAsia="仿宋_GB2312" w:cs="Times New Roman"/>
          <w:sz w:val="32"/>
          <w:szCs w:val="32"/>
        </w:rPr>
        <w:t>应当定期向同级人民代表大会常务委员会报告优化营商环境工作</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将优化营商环境工作纳入高质量发展综合考核体系。</w:t>
      </w:r>
    </w:p>
    <w:p w14:paraId="738C0432">
      <w:pPr>
        <w:widowControl/>
        <w:shd w:val="clear" w:color="auto" w:fill="FFFFFF"/>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kern w:val="0"/>
          <w:sz w:val="32"/>
          <w:szCs w:val="32"/>
        </w:rPr>
        <w:t>市、县（区）</w:t>
      </w:r>
      <w:r>
        <w:rPr>
          <w:rFonts w:hint="eastAsia" w:ascii="Times New Roman" w:hAnsi="Times New Roman" w:eastAsia="仿宋_GB2312" w:cs="Times New Roman"/>
          <w:sz w:val="32"/>
          <w:szCs w:val="32"/>
        </w:rPr>
        <w:t>人民代表大会常务委员会可以通过听取专项工作报告、执法检查、质询、询问或者组织代表视察等方式，对本行政区域内优化营商环境工作进行监督。</w:t>
      </w:r>
    </w:p>
    <w:p w14:paraId="4B174BA2">
      <w:pPr>
        <w:widowControl/>
        <w:shd w:val="clear" w:color="auto" w:fill="FFFFFF"/>
        <w:ind w:firstLine="640" w:firstLineChars="200"/>
        <w:jc w:val="left"/>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镇人民代表大会主席团在人民代表大会闭会期间，可以通过安排代表听取专项工作报告、执法检查、组织代表视察、调研等方式，对优化营商环境工作进行监督。</w:t>
      </w:r>
    </w:p>
    <w:p w14:paraId="6481E517">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第四十</w:t>
      </w:r>
      <w:r>
        <w:rPr>
          <w:rFonts w:hint="eastAsia" w:ascii="Times New Roman" w:hAnsi="Times New Roman" w:eastAsia="仿宋_GB2312" w:cs="Times New Roman"/>
          <w:b/>
          <w:sz w:val="32"/>
          <w:szCs w:val="32"/>
        </w:rPr>
        <w:t>二</w:t>
      </w:r>
      <w:r>
        <w:rPr>
          <w:rFonts w:ascii="Times New Roman" w:hAnsi="Times New Roman" w:eastAsia="仿宋_GB2312" w:cs="Times New Roman"/>
          <w:b/>
          <w:sz w:val="32"/>
          <w:szCs w:val="32"/>
        </w:rPr>
        <w:t>条 </w:t>
      </w:r>
      <w:r>
        <w:rPr>
          <w:rFonts w:hint="eastAsia" w:ascii="Times New Roman" w:hAnsi="Times New Roman" w:eastAsia="仿宋_GB2312" w:cs="Times New Roman"/>
          <w:sz w:val="32"/>
          <w:szCs w:val="32"/>
        </w:rPr>
        <w:t>监察机关应当加强对公职人员履行优化营商环境工作职责情况的监督，依法查处损害营商环境的职务违法、职务犯罪行为，定期通报典型案例。</w:t>
      </w:r>
    </w:p>
    <w:p w14:paraId="676633B9">
      <w:pPr>
        <w:widowControl/>
        <w:shd w:val="clear" w:color="auto" w:fill="FFFFFF"/>
        <w:ind w:firstLine="643" w:firstLineChars="200"/>
        <w:jc w:val="left"/>
        <w:rPr>
          <w:rFonts w:hint="eastAsia" w:ascii="Times New Roman" w:hAnsi="Times New Roman" w:eastAsia="仿宋_GB2312" w:cs="Times New Roman"/>
          <w:sz w:val="32"/>
          <w:szCs w:val="32"/>
        </w:rPr>
      </w:pPr>
      <w:r>
        <w:rPr>
          <w:rFonts w:ascii="Times New Roman" w:hAnsi="Times New Roman" w:eastAsia="仿宋_GB2312" w:cs="Times New Roman"/>
          <w:b/>
          <w:sz w:val="32"/>
          <w:szCs w:val="32"/>
        </w:rPr>
        <w:t>第</w:t>
      </w:r>
      <w:r>
        <w:rPr>
          <w:rFonts w:hint="eastAsia" w:ascii="Times New Roman" w:hAnsi="Times New Roman" w:eastAsia="仿宋_GB2312" w:cs="Times New Roman"/>
          <w:b/>
          <w:sz w:val="32"/>
          <w:szCs w:val="32"/>
        </w:rPr>
        <w:t>四</w:t>
      </w:r>
      <w:r>
        <w:rPr>
          <w:rFonts w:ascii="Times New Roman" w:hAnsi="Times New Roman" w:eastAsia="仿宋_GB2312" w:cs="Times New Roman"/>
          <w:b/>
          <w:sz w:val="32"/>
          <w:szCs w:val="32"/>
        </w:rPr>
        <w:t>十</w:t>
      </w:r>
      <w:r>
        <w:rPr>
          <w:rFonts w:hint="eastAsia" w:ascii="Times New Roman" w:hAnsi="Times New Roman" w:eastAsia="仿宋_GB2312" w:cs="Times New Roman"/>
          <w:b/>
          <w:sz w:val="32"/>
          <w:szCs w:val="32"/>
        </w:rPr>
        <w:t>三</w:t>
      </w:r>
      <w:r>
        <w:rPr>
          <w:rFonts w:ascii="Times New Roman" w:hAnsi="Times New Roman" w:eastAsia="仿宋_GB2312" w:cs="Times New Roman"/>
          <w:b/>
          <w:sz w:val="32"/>
          <w:szCs w:val="32"/>
        </w:rPr>
        <w:t>条 </w:t>
      </w:r>
      <w:r>
        <w:rPr>
          <w:rFonts w:ascii="Times New Roman" w:hAnsi="Times New Roman" w:eastAsia="仿宋_GB2312" w:cs="Times New Roman"/>
          <w:sz w:val="32"/>
          <w:szCs w:val="32"/>
        </w:rPr>
        <w:t>建立防范和化解拖欠企业账款长效机制，严禁无预算、超预算开展建设。开展政府履约践诺专项治理，强化政府采购、招商引资合同履约监管。</w:t>
      </w:r>
    </w:p>
    <w:p w14:paraId="60EB52AD">
      <w:pPr>
        <w:widowControl/>
        <w:shd w:val="clear" w:color="auto" w:fill="FFFFFF"/>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违反本条例规定损害营商环境的，除依照有关法律、法规承担法律责任外，有关部门应当按照国家和省有关规定将违法情况纳入公共信用信息系统，依法依规实施信用惩戒。</w:t>
      </w:r>
      <w:r>
        <w:rPr>
          <w:rFonts w:ascii="Times New Roman" w:hAnsi="Times New Roman" w:eastAsia="仿宋_GB2312" w:cs="Times New Roman"/>
          <w:sz w:val="32"/>
          <w:szCs w:val="32"/>
        </w:rPr>
        <w:t>对存在政务失信记录的政府机关、事业单位和个人，在各类评先评优中依法依规予以限制。</w:t>
      </w:r>
    </w:p>
    <w:p w14:paraId="63182CE0">
      <w:pPr>
        <w:ind w:firstLine="643" w:firstLineChars="200"/>
        <w:rPr>
          <w:rFonts w:ascii="宋体" w:hAnsi="宋体" w:eastAsia="宋体" w:cs="宋体"/>
          <w:kern w:val="0"/>
          <w:sz w:val="24"/>
          <w:szCs w:val="24"/>
        </w:rPr>
      </w:pPr>
      <w:r>
        <w:rPr>
          <w:rFonts w:ascii="Times New Roman" w:hAnsi="Times New Roman" w:eastAsia="仿宋_GB2312" w:cs="Times New Roman"/>
          <w:b/>
          <w:sz w:val="32"/>
          <w:szCs w:val="32"/>
        </w:rPr>
        <w:t>第四十</w:t>
      </w:r>
      <w:r>
        <w:rPr>
          <w:rFonts w:hint="eastAsia" w:ascii="Times New Roman" w:hAnsi="Times New Roman" w:eastAsia="仿宋_GB2312" w:cs="Times New Roman"/>
          <w:b/>
          <w:sz w:val="32"/>
          <w:szCs w:val="32"/>
        </w:rPr>
        <w:t>四</w:t>
      </w:r>
      <w:r>
        <w:rPr>
          <w:rFonts w:ascii="Times New Roman" w:hAnsi="Times New Roman" w:eastAsia="仿宋_GB2312" w:cs="Times New Roman"/>
          <w:b/>
          <w:sz w:val="32"/>
          <w:szCs w:val="32"/>
        </w:rPr>
        <w:t>条 </w:t>
      </w:r>
      <w:r>
        <w:rPr>
          <w:rFonts w:ascii="Times New Roman" w:hAnsi="Times New Roman" w:eastAsia="仿宋_GB2312" w:cs="Times New Roman"/>
          <w:sz w:val="32"/>
          <w:szCs w:val="32"/>
        </w:rPr>
        <w:t>畅通营商环境投诉举报渠道，</w:t>
      </w:r>
      <w:r>
        <w:rPr>
          <w:rFonts w:hint="eastAsia" w:ascii="Times New Roman" w:hAnsi="Times New Roman" w:eastAsia="仿宋_GB2312" w:cs="Times New Roman"/>
          <w:sz w:val="32"/>
          <w:szCs w:val="32"/>
          <w:highlight w:val="none"/>
        </w:rPr>
        <w:t>畅通12345热线营商专席、“宿企通”平台、“宿心办”APP</w:t>
      </w:r>
      <w:r>
        <w:rPr>
          <w:rFonts w:hint="eastAsia" w:ascii="Times New Roman" w:hAnsi="Times New Roman" w:eastAsia="仿宋_GB2312" w:cs="Times New Roman"/>
          <w:sz w:val="32"/>
          <w:szCs w:val="32"/>
          <w:highlight w:val="none"/>
          <w:lang w:eastAsia="zh-CN"/>
        </w:rPr>
        <w:t>、</w:t>
      </w:r>
      <w:r>
        <w:rPr>
          <w:rFonts w:ascii="Times New Roman" w:hAnsi="Times New Roman" w:eastAsia="仿宋_GB2312" w:cs="Times New Roman"/>
          <w:sz w:val="32"/>
          <w:szCs w:val="32"/>
          <w:highlight w:val="none"/>
        </w:rPr>
        <w:t>作风监督</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随手拍</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平台</w:t>
      </w:r>
      <w:r>
        <w:rPr>
          <w:rFonts w:hint="eastAsia" w:ascii="Times New Roman" w:hAnsi="Times New Roman" w:eastAsia="仿宋_GB2312" w:cs="Times New Roman"/>
          <w:sz w:val="32"/>
          <w:szCs w:val="32"/>
          <w:highlight w:val="none"/>
        </w:rPr>
        <w:t>等全天候投诉举报渠道，</w:t>
      </w:r>
      <w:r>
        <w:rPr>
          <w:rFonts w:ascii="Times New Roman" w:hAnsi="Times New Roman" w:eastAsia="仿宋_GB2312" w:cs="Times New Roman"/>
          <w:sz w:val="32"/>
          <w:szCs w:val="32"/>
          <w:highlight w:val="none"/>
        </w:rPr>
        <w:t>实现营商环境监督制度化、规范化、常态化。</w:t>
      </w:r>
    </w:p>
    <w:p w14:paraId="43CA58FE">
      <w:pPr>
        <w:widowControl/>
        <w:shd w:val="clear" w:color="auto" w:fill="FFFFFF"/>
        <w:ind w:firstLine="643" w:firstLineChars="200"/>
        <w:jc w:val="left"/>
        <w:rPr>
          <w:rFonts w:hint="eastAsia" w:ascii="Times New Roman" w:hAnsi="Times New Roman" w:eastAsia="仿宋_GB2312" w:cs="Times New Roman"/>
          <w:sz w:val="32"/>
          <w:szCs w:val="32"/>
        </w:rPr>
      </w:pPr>
      <w:r>
        <w:rPr>
          <w:rFonts w:ascii="Times New Roman" w:hAnsi="Times New Roman" w:eastAsia="仿宋_GB2312" w:cs="Times New Roman"/>
          <w:b/>
          <w:sz w:val="32"/>
          <w:szCs w:val="32"/>
        </w:rPr>
        <w:t>第</w:t>
      </w:r>
      <w:r>
        <w:rPr>
          <w:rFonts w:hint="eastAsia" w:ascii="Times New Roman" w:hAnsi="Times New Roman" w:eastAsia="仿宋_GB2312" w:cs="Times New Roman"/>
          <w:b/>
          <w:sz w:val="32"/>
          <w:szCs w:val="32"/>
        </w:rPr>
        <w:t>四</w:t>
      </w:r>
      <w:r>
        <w:rPr>
          <w:rFonts w:ascii="Times New Roman" w:hAnsi="Times New Roman" w:eastAsia="仿宋_GB2312" w:cs="Times New Roman"/>
          <w:b/>
          <w:sz w:val="32"/>
          <w:szCs w:val="32"/>
        </w:rPr>
        <w:t>十</w:t>
      </w:r>
      <w:r>
        <w:rPr>
          <w:rFonts w:hint="eastAsia" w:ascii="Times New Roman" w:hAnsi="Times New Roman" w:eastAsia="仿宋_GB2312" w:cs="Times New Roman"/>
          <w:b/>
          <w:sz w:val="32"/>
          <w:szCs w:val="32"/>
        </w:rPr>
        <w:t>五</w:t>
      </w:r>
      <w:r>
        <w:rPr>
          <w:rFonts w:ascii="Times New Roman" w:hAnsi="Times New Roman" w:eastAsia="仿宋_GB2312" w:cs="Times New Roman"/>
          <w:b/>
          <w:sz w:val="32"/>
          <w:szCs w:val="32"/>
        </w:rPr>
        <w:t>条 </w:t>
      </w:r>
      <w:r>
        <w:rPr>
          <w:rFonts w:ascii="Times New Roman" w:hAnsi="Times New Roman" w:eastAsia="仿宋_GB2312" w:cs="Times New Roman"/>
          <w:sz w:val="32"/>
          <w:szCs w:val="32"/>
        </w:rPr>
        <w:t>违反本条例规定的行为，法律、法规已有处罚规定的，从其规定。</w:t>
      </w:r>
    </w:p>
    <w:p w14:paraId="5D0F99F0">
      <w:pPr>
        <w:widowControl/>
        <w:shd w:val="clear" w:color="auto" w:fill="FFFFFF"/>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国家机关及其工作人员未按照本条例的规定依法履行职责或者侵犯经营主体合法权益的，有关部门、单位及其工作人员滥用职权、玩忽职守、徇私舞弊的，对直接负责的主管人员和其他直接责任人员依法给予处分；构成犯罪的，依法追究刑事责任。</w:t>
      </w:r>
    </w:p>
    <w:p w14:paraId="3F6713BF">
      <w:pPr>
        <w:widowControl/>
        <w:shd w:val="clear" w:color="auto" w:fill="FFFFFF"/>
        <w:ind w:right="1280"/>
        <w:outlineLvl w:val="1"/>
        <w:rPr>
          <w:rFonts w:ascii="Times New Roman" w:hAnsi="Times New Roman" w:eastAsia="黑体" w:cs="Times New Roman"/>
          <w:sz w:val="32"/>
          <w:szCs w:val="32"/>
        </w:rPr>
      </w:pPr>
    </w:p>
    <w:p w14:paraId="4EFA90A8">
      <w:pPr>
        <w:widowControl/>
        <w:shd w:val="clear" w:color="auto" w:fill="FFFFFF"/>
        <w:ind w:right="1280"/>
        <w:jc w:val="center"/>
        <w:outlineLvl w:val="1"/>
        <w:rPr>
          <w:rFonts w:ascii="Times New Roman" w:hAnsi="Times New Roman" w:eastAsia="黑体" w:cs="Times New Roman"/>
          <w:sz w:val="32"/>
          <w:szCs w:val="32"/>
        </w:rPr>
      </w:pPr>
      <w:r>
        <w:rPr>
          <w:rFonts w:ascii="Times New Roman" w:hAnsi="黑体" w:eastAsia="黑体" w:cs="Times New Roman"/>
          <w:sz w:val="32"/>
          <w:szCs w:val="32"/>
        </w:rPr>
        <w:t>第</w:t>
      </w:r>
      <w:r>
        <w:rPr>
          <w:rFonts w:hint="eastAsia" w:ascii="Times New Roman" w:hAnsi="黑体" w:eastAsia="黑体" w:cs="Times New Roman"/>
          <w:sz w:val="32"/>
          <w:szCs w:val="32"/>
          <w:lang w:eastAsia="zh-CN"/>
        </w:rPr>
        <w:t>七</w:t>
      </w:r>
      <w:r>
        <w:rPr>
          <w:rFonts w:ascii="Times New Roman" w:hAnsi="黑体" w:eastAsia="黑体" w:cs="Times New Roman"/>
          <w:sz w:val="32"/>
          <w:szCs w:val="32"/>
        </w:rPr>
        <w:t>章</w:t>
      </w:r>
      <w:r>
        <w:rPr>
          <w:rFonts w:ascii="Times New Roman" w:hAnsi="Times New Roman" w:eastAsia="黑体" w:cs="Times New Roman"/>
          <w:sz w:val="32"/>
          <w:szCs w:val="32"/>
        </w:rPr>
        <w:t> </w:t>
      </w:r>
      <w:r>
        <w:rPr>
          <w:rFonts w:ascii="Times New Roman" w:hAnsi="黑体" w:eastAsia="黑体" w:cs="Times New Roman"/>
          <w:sz w:val="32"/>
          <w:szCs w:val="32"/>
        </w:rPr>
        <w:t>附则</w:t>
      </w:r>
    </w:p>
    <w:p w14:paraId="0388E3CA">
      <w:pPr>
        <w:widowControl/>
        <w:shd w:val="clear" w:color="auto" w:fill="FFFFFF"/>
        <w:ind w:right="1280"/>
        <w:jc w:val="center"/>
        <w:outlineLvl w:val="1"/>
        <w:rPr>
          <w:rFonts w:ascii="Times New Roman" w:hAnsi="Times New Roman" w:eastAsia="黑体" w:cs="Times New Roman"/>
          <w:sz w:val="32"/>
          <w:szCs w:val="32"/>
        </w:rPr>
      </w:pPr>
    </w:p>
    <w:p w14:paraId="7A50F2FA">
      <w:pPr>
        <w:widowControl/>
        <w:shd w:val="clear" w:color="auto" w:fill="FFFFFF"/>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w:t>
      </w:r>
      <w:r>
        <w:rPr>
          <w:rFonts w:hint="eastAsia" w:ascii="Times New Roman" w:hAnsi="Times New Roman" w:eastAsia="仿宋_GB2312" w:cs="Times New Roman"/>
          <w:b/>
          <w:sz w:val="32"/>
          <w:szCs w:val="32"/>
        </w:rPr>
        <w:t>四</w:t>
      </w:r>
      <w:r>
        <w:rPr>
          <w:rFonts w:ascii="Times New Roman" w:hAnsi="Times New Roman" w:eastAsia="仿宋_GB2312" w:cs="Times New Roman"/>
          <w:b/>
          <w:sz w:val="32"/>
          <w:szCs w:val="32"/>
        </w:rPr>
        <w:t>十</w:t>
      </w:r>
      <w:r>
        <w:rPr>
          <w:rFonts w:hint="eastAsia" w:ascii="Times New Roman" w:hAnsi="Times New Roman" w:eastAsia="仿宋_GB2312" w:cs="Times New Roman"/>
          <w:b/>
          <w:sz w:val="32"/>
          <w:szCs w:val="32"/>
        </w:rPr>
        <w:t>六</w:t>
      </w:r>
      <w:r>
        <w:rPr>
          <w:rFonts w:ascii="Times New Roman" w:hAnsi="Times New Roman" w:eastAsia="仿宋_GB2312" w:cs="Times New Roman"/>
          <w:b/>
          <w:sz w:val="32"/>
          <w:szCs w:val="32"/>
        </w:rPr>
        <w:t>条 </w:t>
      </w:r>
      <w:r>
        <w:rPr>
          <w:rFonts w:ascii="Times New Roman" w:hAnsi="Times New Roman" w:eastAsia="仿宋_GB2312" w:cs="Times New Roman"/>
          <w:sz w:val="32"/>
          <w:szCs w:val="32"/>
        </w:rPr>
        <w:t>本条例自202</w:t>
      </w:r>
      <w:r>
        <w:rPr>
          <w:rFonts w:hint="default" w:ascii="Times New Roman" w:hAnsi="Times New Roman" w:eastAsia="仿宋_GB2312" w:cs="Times New Roman"/>
          <w:sz w:val="32"/>
          <w:szCs w:val="32"/>
          <w:lang w:val="en-US"/>
        </w:rPr>
        <w:t>7</w:t>
      </w:r>
      <w:bookmarkStart w:id="24" w:name="_GoBack"/>
      <w:bookmarkEnd w:id="24"/>
      <w:r>
        <w:rPr>
          <w:rFonts w:ascii="Times New Roman" w:hAnsi="Times New Roman" w:eastAsia="仿宋_GB2312" w:cs="Times New Roman"/>
          <w:sz w:val="32"/>
          <w:szCs w:val="32"/>
        </w:rPr>
        <w:t>年X月X日起施行</w:t>
      </w:r>
      <w:r>
        <w:rPr>
          <w:rFonts w:hint="eastAsia" w:ascii="Times New Roman" w:hAnsi="Times New Roman" w:eastAsia="仿宋_GB2312" w:cs="Times New Roman"/>
          <w:sz w:val="32"/>
          <w:szCs w:val="32"/>
        </w:rPr>
        <w:t>。</w:t>
      </w:r>
    </w:p>
    <w:sectPr>
      <w:footerReference r:id="rId3" w:type="default"/>
      <w:pgSz w:w="11906" w:h="16838"/>
      <w:pgMar w:top="1985" w:right="1452" w:bottom="2019"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2F4B96">
    <w:pPr>
      <w:pStyle w:val="4"/>
      <w:jc w:val="center"/>
    </w:pPr>
    <w:r>
      <w:rPr>
        <w:rFonts w:ascii="Times New Roman" w:hAnsi="Times New Roman" w:cs="Times New Roman"/>
        <w:sz w:val="28"/>
        <w:szCs w:val="28"/>
      </w:rPr>
      <w:t>—</w:t>
    </w:r>
    <w:sdt>
      <w:sdtPr>
        <w:rPr>
          <w:rFonts w:ascii="Times New Roman" w:hAnsi="Times New Roman" w:cs="Times New Roman"/>
          <w:sz w:val="28"/>
          <w:szCs w:val="28"/>
        </w:rPr>
        <w:id w:val="85407993"/>
        <w:docPartObj>
          <w:docPartGallery w:val="autotext"/>
        </w:docPartObj>
      </w:sdtPr>
      <w:sdtEndPr>
        <w:rPr>
          <w:rFonts w:asciiTheme="minorHAnsi" w:hAnsiTheme="minorHAnsi" w:cstheme="minorBidi"/>
          <w:sz w:val="18"/>
          <w:szCs w:val="18"/>
        </w:rPr>
      </w:sdtEndPr>
      <w:sdtContent>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19</w:t>
        </w:r>
        <w:r>
          <w:rPr>
            <w:rFonts w:ascii="Times New Roman" w:hAnsi="Times New Roman" w:cs="Times New Roman"/>
            <w:sz w:val="28"/>
            <w:szCs w:val="28"/>
          </w:rPr>
          <w:fldChar w:fldCharType="end"/>
        </w:r>
        <w:r>
          <w:rPr>
            <w:rFonts w:ascii="Times New Roman" w:hAnsi="Times New Roman" w:cs="Times New Roman"/>
            <w:sz w:val="28"/>
            <w:szCs w:val="28"/>
          </w:rPr>
          <w:t>—</w:t>
        </w:r>
      </w:sdtContent>
    </w:sdt>
  </w:p>
  <w:p w14:paraId="55851A46">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NiMWVmNzQwYmRjNDc4Njc5ZTM1ZTJiYWRjZWNhODcifQ=="/>
  </w:docVars>
  <w:rsids>
    <w:rsidRoot w:val="000D7F81"/>
    <w:rsid w:val="000060FC"/>
    <w:rsid w:val="00017F3E"/>
    <w:rsid w:val="000912BD"/>
    <w:rsid w:val="000966D2"/>
    <w:rsid w:val="000C73C5"/>
    <w:rsid w:val="000D0C7F"/>
    <w:rsid w:val="000D7BFB"/>
    <w:rsid w:val="000D7F81"/>
    <w:rsid w:val="000F4B0B"/>
    <w:rsid w:val="00115835"/>
    <w:rsid w:val="00123028"/>
    <w:rsid w:val="00124BBA"/>
    <w:rsid w:val="00146D86"/>
    <w:rsid w:val="0018216F"/>
    <w:rsid w:val="00291F82"/>
    <w:rsid w:val="00296C08"/>
    <w:rsid w:val="002A79D0"/>
    <w:rsid w:val="002B3C06"/>
    <w:rsid w:val="002D5E6E"/>
    <w:rsid w:val="003130B3"/>
    <w:rsid w:val="00325E7B"/>
    <w:rsid w:val="0034705F"/>
    <w:rsid w:val="0036599F"/>
    <w:rsid w:val="0044543B"/>
    <w:rsid w:val="00445B7D"/>
    <w:rsid w:val="004857D8"/>
    <w:rsid w:val="004A2E5E"/>
    <w:rsid w:val="004D486E"/>
    <w:rsid w:val="004E33BE"/>
    <w:rsid w:val="00502661"/>
    <w:rsid w:val="00547549"/>
    <w:rsid w:val="005A381C"/>
    <w:rsid w:val="005A7921"/>
    <w:rsid w:val="005C3E85"/>
    <w:rsid w:val="00617BA3"/>
    <w:rsid w:val="0063201A"/>
    <w:rsid w:val="00656446"/>
    <w:rsid w:val="00660E1E"/>
    <w:rsid w:val="00671990"/>
    <w:rsid w:val="0068430B"/>
    <w:rsid w:val="006F0638"/>
    <w:rsid w:val="006F49FA"/>
    <w:rsid w:val="00733333"/>
    <w:rsid w:val="007847E3"/>
    <w:rsid w:val="007910CA"/>
    <w:rsid w:val="007C2A79"/>
    <w:rsid w:val="0080357C"/>
    <w:rsid w:val="008507C7"/>
    <w:rsid w:val="008A3DB3"/>
    <w:rsid w:val="008B591B"/>
    <w:rsid w:val="00953467"/>
    <w:rsid w:val="00961361"/>
    <w:rsid w:val="00972C30"/>
    <w:rsid w:val="009933FB"/>
    <w:rsid w:val="009B0C6A"/>
    <w:rsid w:val="009B5EE4"/>
    <w:rsid w:val="009B7703"/>
    <w:rsid w:val="009B791C"/>
    <w:rsid w:val="009C6B68"/>
    <w:rsid w:val="009E3C02"/>
    <w:rsid w:val="009F34DD"/>
    <w:rsid w:val="00A13A66"/>
    <w:rsid w:val="00A22FB9"/>
    <w:rsid w:val="00A41CED"/>
    <w:rsid w:val="00AD053C"/>
    <w:rsid w:val="00BC0912"/>
    <w:rsid w:val="00C35FD5"/>
    <w:rsid w:val="00C45CBE"/>
    <w:rsid w:val="00C51E37"/>
    <w:rsid w:val="00C64E8F"/>
    <w:rsid w:val="00C74C72"/>
    <w:rsid w:val="00CA0D06"/>
    <w:rsid w:val="00CD0FE1"/>
    <w:rsid w:val="00CE38FA"/>
    <w:rsid w:val="00CF71B4"/>
    <w:rsid w:val="00D50F18"/>
    <w:rsid w:val="00D62314"/>
    <w:rsid w:val="00D63698"/>
    <w:rsid w:val="00D778FC"/>
    <w:rsid w:val="00DB1D5C"/>
    <w:rsid w:val="00E147A1"/>
    <w:rsid w:val="00E30003"/>
    <w:rsid w:val="00E91FB8"/>
    <w:rsid w:val="00EF238E"/>
    <w:rsid w:val="00EF2475"/>
    <w:rsid w:val="00F327B2"/>
    <w:rsid w:val="00F41040"/>
    <w:rsid w:val="00F73A32"/>
    <w:rsid w:val="00F73CAD"/>
    <w:rsid w:val="00FB3ECA"/>
    <w:rsid w:val="00FF3D69"/>
    <w:rsid w:val="07B9A03A"/>
    <w:rsid w:val="0BBF7C07"/>
    <w:rsid w:val="0D591AA8"/>
    <w:rsid w:val="12FE8488"/>
    <w:rsid w:val="1F3FBB38"/>
    <w:rsid w:val="4BF369C0"/>
    <w:rsid w:val="4EDA7F62"/>
    <w:rsid w:val="52FF5A63"/>
    <w:rsid w:val="5BF25900"/>
    <w:rsid w:val="5CFB39E9"/>
    <w:rsid w:val="5DEC18AC"/>
    <w:rsid w:val="5E3FB5F4"/>
    <w:rsid w:val="5F7F2329"/>
    <w:rsid w:val="777D22B1"/>
    <w:rsid w:val="77A7C720"/>
    <w:rsid w:val="79EF12B2"/>
    <w:rsid w:val="7B5FFF61"/>
    <w:rsid w:val="7CF3C27A"/>
    <w:rsid w:val="7DB7C423"/>
    <w:rsid w:val="7EFFD375"/>
    <w:rsid w:val="7F5BB7FC"/>
    <w:rsid w:val="7FEE34E0"/>
    <w:rsid w:val="877F5861"/>
    <w:rsid w:val="AFF7EB28"/>
    <w:rsid w:val="BFD7D961"/>
    <w:rsid w:val="C7FF66E3"/>
    <w:rsid w:val="CFFFFD75"/>
    <w:rsid w:val="D7D97F5D"/>
    <w:rsid w:val="D9754193"/>
    <w:rsid w:val="DEFE2EDE"/>
    <w:rsid w:val="DFEB31B3"/>
    <w:rsid w:val="DFFE205C"/>
    <w:rsid w:val="E9FB03B6"/>
    <w:rsid w:val="EBBBEA91"/>
    <w:rsid w:val="EF7EF01B"/>
    <w:rsid w:val="EF7FB3A6"/>
    <w:rsid w:val="EFEF2B81"/>
    <w:rsid w:val="EFFFC35C"/>
    <w:rsid w:val="F1BC0206"/>
    <w:rsid w:val="F7E2250B"/>
    <w:rsid w:val="F7E85C01"/>
    <w:rsid w:val="F9EFB349"/>
    <w:rsid w:val="FAF16306"/>
    <w:rsid w:val="FBAF5DFC"/>
    <w:rsid w:val="FBFD8073"/>
    <w:rsid w:val="FCE3618E"/>
    <w:rsid w:val="FDF988E8"/>
    <w:rsid w:val="FEFF5D68"/>
    <w:rsid w:val="FF7F49AA"/>
    <w:rsid w:val="FF7FF1BD"/>
    <w:rsid w:val="FFCFDB88"/>
    <w:rsid w:val="FFEF19D2"/>
    <w:rsid w:val="FFF772FE"/>
    <w:rsid w:val="FFFFFF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link w:val="10"/>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link w:val="11"/>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customStyle="1" w:styleId="10">
    <w:name w:val="标题 1 Char"/>
    <w:basedOn w:val="8"/>
    <w:link w:val="2"/>
    <w:qFormat/>
    <w:uiPriority w:val="9"/>
    <w:rPr>
      <w:rFonts w:ascii="宋体" w:hAnsi="宋体" w:eastAsia="宋体" w:cs="宋体"/>
      <w:b/>
      <w:bCs/>
      <w:kern w:val="36"/>
      <w:sz w:val="48"/>
      <w:szCs w:val="48"/>
    </w:rPr>
  </w:style>
  <w:style w:type="character" w:customStyle="1" w:styleId="11">
    <w:name w:val="标题 2 Char"/>
    <w:basedOn w:val="8"/>
    <w:link w:val="3"/>
    <w:qFormat/>
    <w:uiPriority w:val="9"/>
    <w:rPr>
      <w:rFonts w:ascii="宋体" w:hAnsi="宋体" w:eastAsia="宋体" w:cs="宋体"/>
      <w:b/>
      <w:bCs/>
      <w:kern w:val="0"/>
      <w:sz w:val="36"/>
      <w:szCs w:val="36"/>
    </w:rPr>
  </w:style>
  <w:style w:type="paragraph" w:customStyle="1" w:styleId="12">
    <w:name w:val="ds-markdown-paragraph"/>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3">
    <w:name w:val="页眉 Char"/>
    <w:basedOn w:val="8"/>
    <w:link w:val="5"/>
    <w:semiHidden/>
    <w:qFormat/>
    <w:uiPriority w:val="99"/>
    <w:rPr>
      <w:sz w:val="18"/>
      <w:szCs w:val="18"/>
    </w:rPr>
  </w:style>
  <w:style w:type="character" w:customStyle="1" w:styleId="14">
    <w:name w:val="页脚 Char"/>
    <w:basedOn w:val="8"/>
    <w:link w:val="4"/>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electedStyle="" StyleName=""/>
</file>

<file path=customXml/itemProps1.xml><?xml version="1.0" encoding="utf-8"?>
<ds:datastoreItem xmlns:ds="http://schemas.openxmlformats.org/officeDocument/2006/customXml" ds:itemID="{C23D86AE-64D1-4A7C-9548-6BAB560D68C7}">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1222</Words>
  <Characters>6966</Characters>
  <Lines>58</Lines>
  <Paragraphs>16</Paragraphs>
  <TotalTime>27</TotalTime>
  <ScaleCrop>false</ScaleCrop>
  <LinksUpToDate>false</LinksUpToDate>
  <CharactersWithSpaces>8172</CharactersWithSpaces>
  <Application>WPS Office_12.8.2.21176_F1E327BC-269C-435d-A152-05C5408002CA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2026-02-12T19:07:00Z</dcterms:created>
  <dc:creator>Administrator</dc:creator>
  <cp:lastModifiedBy>user</cp:lastModifiedBy>
  <dcterms:modified xsi:type="dcterms:W3CDTF">2026-02-14T09:11:33Z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2052-12.8.2.21176</vt:lpwstr>
  </property>
  <property fmtid="{D5CDD505-2E9C-101B-9397-08002B2CF9AE}" pid="3" name="ICV">
    <vt:lpwstr>23DC704EA7A7C3E2C1CA8F699903E523_43</vt:lpwstr>
  </property>
</Properties>
</file>